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after="120"/>
        <w:ind w:firstLine="1044"/>
        <w:jc w:val="center"/>
        <w:rPr>
          <w:rFonts w:ascii="宋体" w:hAnsi="宋体" w:cs="黑体"/>
          <w:b/>
          <w:bCs/>
          <w:kern w:val="0"/>
          <w:sz w:val="52"/>
          <w:szCs w:val="52"/>
          <w:lang w:bidi="zh-CN"/>
        </w:rPr>
      </w:pPr>
      <w:r>
        <w:rPr>
          <w:rFonts w:hint="eastAsia" w:ascii="宋体" w:hAnsi="宋体" w:cs="黑体"/>
          <w:b/>
          <w:bCs/>
          <w:kern w:val="0"/>
          <w:sz w:val="52"/>
          <w:szCs w:val="52"/>
          <w:lang w:val="zh-CN" w:bidi="zh-CN"/>
        </w:rPr>
        <w:t>阜阳市城乡建设局</w:t>
      </w:r>
    </w:p>
    <w:p>
      <w:pPr>
        <w:pStyle w:val="4"/>
        <w:ind w:firstLine="480"/>
        <w:rPr>
          <w:rFonts w:ascii="宋体" w:hAnsi="宋体"/>
          <w:u w:val="single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320040</wp:posOffset>
                </wp:positionV>
                <wp:extent cx="6389370" cy="98425"/>
                <wp:effectExtent l="0" t="9525" r="11430" b="317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9370" cy="98425"/>
                          <a:chOff x="1770" y="5130"/>
                          <a:chExt cx="8340" cy="120"/>
                        </a:xfrm>
                        <a:effectLst/>
                      </wpg:grpSpPr>
                      <wps:wsp>
                        <wps:cNvPr id="1719456344" name="直接连接符 1719456344"/>
                        <wps:cNvCnPr/>
                        <wps:spPr>
                          <a:xfrm>
                            <a:off x="1770" y="5130"/>
                            <a:ext cx="834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06051688" name="直接连接符 2106051688"/>
                        <wps:cNvCnPr/>
                        <wps:spPr>
                          <a:xfrm>
                            <a:off x="1770" y="5250"/>
                            <a:ext cx="8340" cy="0"/>
                          </a:xfrm>
                          <a:prstGeom prst="line">
                            <a:avLst/>
                          </a:prstGeom>
                          <a:ln w="571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9pt;margin-top:25.2pt;height:7.75pt;width:503.1pt;z-index:251659264;mso-width-relative:page;mso-height-relative:page;" coordorigin="1770,5130" coordsize="8340,120" o:gfxdata="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y&#10;mrsc2gAAAAkBAAAPAAAAAAAAAAEAIAAAACIAAABkcnMvZG93bnJldi54bWxQSwECFAAUAAAACACH&#10;TuJAQ95M+pQCAABWBwAADgAAAAAAAAABACAAAAApAQAAZHJzL2Uyb0RvYy54bWxQSwUGAAAAAAYA&#10;BgBZAQAALwYAAAAA&#10;">
                <o:lock v:ext="edit" aspectratio="f"/>
                <v:line id="_x0000_s1026" o:spid="_x0000_s1026" o:spt="20" style="position:absolute;left:1770;top:5130;height:0;width:8340;" filled="f" stroked="t" coordsize="21600,21600" o:gfxdata="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C&#10;ZRLowwAAAOMAAAAPAAAAAAAAAAEAIAAAACIAAABkcnMvZG93bnJldi54bWxQSwECFAAUAAAACACH&#10;TuJAMy8FnjsAAAA5AAAAEAAAAAAAAAABACAAAAASAQAAZHJzL3NoYXBleG1sLnhtbFBLBQYAAAAA&#10;BgAGAFsBAAC8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1770;top:5250;height:0;width:8340;" filled="f" stroked="t" coordsize="21600,21600" o:gfxdata="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r&#10;lXIIwwAAAOMAAAAPAAAAAAAAAAEAIAAAACIAAABkcnMvZG93bnJldi54bWxQSwECFAAUAAAACACH&#10;TuJAMy8FnjsAAAA5AAAAEAAAAAAAAAABACAAAAASAQAAZHJzL3NoYXBleG1sLnhtbFBLBQYAAAAA&#10;BgAGAFsBAAC8AwAAAAA=&#10;">
                  <v:fill on="f" focussize="0,0"/>
                  <v:stroke weight="4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6"/>
        <w:spacing w:after="120"/>
        <w:outlineLvl w:val="9"/>
        <w:rPr>
          <w:rFonts w:ascii="宋体" w:hAnsi="宋体" w:cs="黑体"/>
          <w:sz w:val="44"/>
          <w:szCs w:val="44"/>
          <w:lang w:bidi="zh-CN"/>
        </w:rPr>
      </w:pPr>
    </w:p>
    <w:p>
      <w:pPr>
        <w:pStyle w:val="6"/>
        <w:spacing w:after="120"/>
        <w:rPr>
          <w:rFonts w:ascii="宋体" w:hAnsi="宋体" w:cs="黑体"/>
          <w:sz w:val="44"/>
          <w:szCs w:val="44"/>
          <w:lang w:bidi="zh-CN"/>
        </w:rPr>
      </w:pPr>
      <w:bookmarkStart w:id="0" w:name="_Toc25525"/>
      <w:r>
        <w:rPr>
          <w:rFonts w:hint="eastAsia" w:ascii="宋体" w:hAnsi="宋体" w:cs="黑体"/>
          <w:sz w:val="44"/>
          <w:szCs w:val="44"/>
          <w:lang w:bidi="zh-CN"/>
        </w:rPr>
        <w:t>“智慧工地”综合监管平台</w:t>
      </w:r>
      <w:bookmarkEnd w:id="0"/>
    </w:p>
    <w:p>
      <w:pPr>
        <w:pStyle w:val="4"/>
        <w:ind w:firstLine="964"/>
        <w:jc w:val="center"/>
        <w:rPr>
          <w:rFonts w:ascii="宋体" w:hAnsi="宋体" w:cs="黑体"/>
          <w:b/>
          <w:bCs/>
          <w:kern w:val="0"/>
          <w:sz w:val="48"/>
          <w:szCs w:val="48"/>
          <w:lang w:bidi="zh-CN"/>
        </w:rPr>
      </w:pPr>
    </w:p>
    <w:p>
      <w:pPr>
        <w:pStyle w:val="4"/>
        <w:ind w:firstLine="964"/>
        <w:jc w:val="center"/>
        <w:rPr>
          <w:rFonts w:ascii="宋体" w:hAnsi="宋体" w:cs="黑体"/>
          <w:b/>
          <w:bCs/>
          <w:kern w:val="0"/>
          <w:sz w:val="48"/>
          <w:szCs w:val="48"/>
          <w:lang w:bidi="zh-CN"/>
        </w:rPr>
      </w:pPr>
    </w:p>
    <w:p>
      <w:pPr>
        <w:pStyle w:val="6"/>
        <w:spacing w:before="120"/>
        <w:rPr>
          <w:rFonts w:hint="default" w:ascii="宋体" w:hAnsi="宋体" w:cs="宋体"/>
          <w:bCs w:val="0"/>
          <w:sz w:val="44"/>
          <w:szCs w:val="44"/>
          <w:lang w:val="en-US"/>
        </w:rPr>
      </w:pPr>
      <w:bookmarkStart w:id="1" w:name="_Toc16340"/>
      <w:r>
        <w:rPr>
          <w:rFonts w:hint="eastAsia" w:ascii="宋体" w:hAnsi="宋体" w:cs="宋体"/>
          <w:bCs w:val="0"/>
          <w:sz w:val="44"/>
          <w:szCs w:val="44"/>
          <w:lang w:val="en-US" w:eastAsia="zh-CN"/>
        </w:rPr>
        <w:t>运维考核方案</w:t>
      </w:r>
      <w:bookmarkEnd w:id="1"/>
    </w:p>
    <w:p>
      <w:pPr>
        <w:pStyle w:val="4"/>
        <w:ind w:firstLine="964"/>
        <w:jc w:val="center"/>
        <w:rPr>
          <w:rFonts w:ascii="宋体" w:hAnsi="宋体" w:cs="华文仿宋"/>
          <w:b/>
          <w:sz w:val="52"/>
          <w:szCs w:val="52"/>
        </w:rPr>
      </w:pPr>
    </w:p>
    <w:p>
      <w:pPr>
        <w:pStyle w:val="4"/>
        <w:spacing w:before="14"/>
        <w:ind w:firstLine="482"/>
        <w:rPr>
          <w:rFonts w:ascii="宋体" w:hAnsi="宋体" w:cs="华文仿宋"/>
          <w:b/>
        </w:rPr>
      </w:pPr>
    </w:p>
    <w:p>
      <w:pPr>
        <w:pStyle w:val="4"/>
        <w:spacing w:before="14"/>
        <w:ind w:firstLine="482"/>
        <w:rPr>
          <w:rFonts w:ascii="宋体" w:hAnsi="宋体" w:cs="华文仿宋"/>
          <w:b/>
        </w:rPr>
      </w:pPr>
    </w:p>
    <w:p>
      <w:pPr>
        <w:pStyle w:val="4"/>
        <w:wordWrap w:val="0"/>
        <w:overflowPunct w:val="0"/>
        <w:ind w:firstLine="643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pStyle w:val="4"/>
        <w:wordWrap w:val="0"/>
        <w:overflowPunct w:val="0"/>
        <w:ind w:firstLine="1944" w:firstLineChars="605"/>
        <w:jc w:val="both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建设单位：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阜阳市城乡建设局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p>
      <w:pPr>
        <w:pStyle w:val="4"/>
        <w:wordWrap w:val="0"/>
        <w:overflowPunct w:val="0"/>
        <w:ind w:firstLine="1928" w:firstLineChars="600"/>
        <w:outlineLvl w:val="9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承建单位：长沙计支宝信息科技有限公司</w:t>
      </w:r>
    </w:p>
    <w:p>
      <w:pPr>
        <w:pStyle w:val="4"/>
        <w:wordWrap w:val="0"/>
        <w:overflowPunct w:val="0"/>
        <w:ind w:firstLine="1928" w:firstLineChars="600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sdt>
      <w:sdtPr>
        <w:rPr>
          <w:rFonts w:ascii="宋体" w:hAnsi="宋体" w:eastAsia="宋体" w:cstheme="minorBidi"/>
          <w:kern w:val="2"/>
          <w:sz w:val="28"/>
          <w:szCs w:val="28"/>
          <w:lang w:val="en-US" w:eastAsia="zh-CN" w:bidi="ar-SA"/>
        </w:rPr>
        <w:id w:val="147462622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8"/>
              <w:szCs w:val="28"/>
            </w:rPr>
          </w:pPr>
          <w:bookmarkStart w:id="6" w:name="_GoBack"/>
          <w:bookmarkEnd w:id="6"/>
          <w:r>
            <w:rPr>
              <w:rFonts w:ascii="宋体" w:hAnsi="宋体" w:eastAsia="宋体"/>
              <w:sz w:val="28"/>
              <w:szCs w:val="28"/>
            </w:rPr>
            <w:t>目录</w:t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_Toc25525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bidi="zh-CN"/>
            </w:rPr>
            <w:t>“智慧工地”综合监管平台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_Toc25525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_Toc16340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  <w:lang w:val="en-US" w:eastAsia="zh-CN"/>
            </w:rPr>
            <w:t>运维考核方案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_Toc16340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_Toc145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 xml:space="preserve">1.1 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总则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_Toc145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_Toc8640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 xml:space="preserve">1.2 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考核内容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_Toc8640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_Toc11251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 xml:space="preserve">1.3 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考核方式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_Toc11251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_Toc15432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 xml:space="preserve">1.4 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考核结果应用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_Toc15432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16" w:lineRule="auto"/>
            <w:textAlignment w:val="auto"/>
            <w:rPr>
              <w:rFonts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</w:sdtContent>
    </w:sdt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en-US" w:eastAsia="zh-CN" w:bidi="ar-SA"/>
        </w:rPr>
        <w:t>1运维考核方案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2" w:name="_Toc14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总则</w:t>
      </w:r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</w:rPr>
        <w:t>为进一步提升“智慧工地”综合监管平台的运行和维护水平，确保其正常运转，特制定本考核方案。考核工作要以科学、公正、客观为原则，以实现“绿色环保、党建引领、科技创新”为目标。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outlineLvl w:val="0"/>
        <w:rPr>
          <w:rFonts w:hint="eastAsia" w:cs="Times New Roman"/>
        </w:rPr>
      </w:pPr>
      <w:bookmarkStart w:id="3" w:name="_Toc8640"/>
      <w:r>
        <w:rPr>
          <w:rFonts w:hint="eastAsia" w:cs="Times New Roman"/>
          <w:lang w:val="en-US" w:eastAsia="zh-CN"/>
        </w:rPr>
        <w:t>考核内容</w:t>
      </w:r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本次考核的具体指标和标准如下：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 平台运行情况（50分）：主要考核平台的稳定性、响应速度和故障率等指标。考核周期为每月一次，由市智慧工地综合监管平台的运行维护单位进行监测和统计，并提交考核结果。具体指标如下：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1）</w:t>
      </w:r>
      <w:r>
        <w:rPr>
          <w:rFonts w:hint="eastAsia" w:ascii="宋体" w:hAnsi="宋体" w:eastAsia="宋体" w:cs="Times New Roman"/>
          <w:sz w:val="24"/>
        </w:rPr>
        <w:t>稳定性（20分）：考核平台是否经常出现故障，故障恢复时间是否超过规定的时间，如果平台稳定性较差，将酌情扣分。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2）</w:t>
      </w:r>
      <w:r>
        <w:rPr>
          <w:rFonts w:hint="eastAsia" w:ascii="宋体" w:hAnsi="宋体" w:eastAsia="宋体" w:cs="Times New Roman"/>
          <w:sz w:val="24"/>
        </w:rPr>
        <w:t>响应速度（20分）：考核平台对用户请求的响应速度，是否能够在规定的时间内完成用户请求，如果响应速度较慢，将酌情扣分。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3）</w:t>
      </w:r>
      <w:r>
        <w:rPr>
          <w:rFonts w:hint="eastAsia" w:ascii="宋体" w:hAnsi="宋体" w:eastAsia="宋体" w:cs="Times New Roman"/>
          <w:sz w:val="24"/>
        </w:rPr>
        <w:t>故障率（10分）：考核平台</w:t>
      </w:r>
      <w:r>
        <w:rPr>
          <w:rFonts w:hint="eastAsia" w:ascii="宋体" w:hAnsi="宋体" w:eastAsia="宋体" w:cs="Times New Roman"/>
          <w:sz w:val="24"/>
          <w:lang w:val="en-US" w:eastAsia="zh-CN"/>
        </w:rPr>
        <w:t>出现故障的频率，故障率越高，将酌情扣分。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 数据维护情况（30分）：主要考核数据的准确性、完整性和及时性等指标。考核周期为每月一次，由市智慧工地综合监管平台的数据维护单位进行监测和统计，并提交考核结果。具体指标如下：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1）</w:t>
      </w:r>
      <w:r>
        <w:rPr>
          <w:rFonts w:hint="eastAsia" w:ascii="宋体" w:hAnsi="宋体" w:eastAsia="宋体" w:cs="Times New Roman"/>
          <w:sz w:val="24"/>
        </w:rPr>
        <w:t>数据准确性（15分）：考核数据是否存在错误，错误率是否超过规定的范围，如果数据准确性较差，将酌情扣分。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2）</w:t>
      </w:r>
      <w:r>
        <w:rPr>
          <w:rFonts w:hint="eastAsia" w:ascii="宋体" w:hAnsi="宋体" w:eastAsia="宋体" w:cs="Times New Roman"/>
          <w:sz w:val="24"/>
        </w:rPr>
        <w:t>数据完整性（10分）：考核数据是否存在缺失，缺失率是否超过规定的范围，如果数据完整性较差，将酌情扣分。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3）</w:t>
      </w:r>
      <w:r>
        <w:rPr>
          <w:rFonts w:hint="eastAsia" w:ascii="宋体" w:hAnsi="宋体" w:eastAsia="宋体" w:cs="Times New Roman"/>
          <w:sz w:val="24"/>
        </w:rPr>
        <w:t>数据及时性（5分）：考核数据是否能够及时更新，是否存在数据过期的情况，如果数据及时性较差，将酌情扣分。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 用户反馈情况（20分）：主要考核用户对平台的满意度和反馈情况。考核周期为每季度一次，由市智慧工地综合监管平台的用户进行评价和反馈，并提交考核结果。具体指标如下：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1）</w:t>
      </w:r>
      <w:r>
        <w:rPr>
          <w:rFonts w:hint="eastAsia" w:ascii="宋体" w:hAnsi="宋体" w:eastAsia="宋体" w:cs="Times New Roman"/>
          <w:sz w:val="24"/>
        </w:rPr>
        <w:t>满意度（10分）：考核用户对平台使用的满意度，用户对平台的满意度越高，将酌情加分。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2）</w:t>
      </w:r>
      <w:r>
        <w:rPr>
          <w:rFonts w:hint="eastAsia" w:ascii="宋体" w:hAnsi="宋体" w:eastAsia="宋体" w:cs="Times New Roman"/>
          <w:sz w:val="24"/>
        </w:rPr>
        <w:t>反馈情况（10分）：考核用户对平台的反馈情况，用户的反馈意见越有价值，将酌情加分。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 技术支持情况（10分）：主要考核市智慧工地综合监管平台的技术支持情况。考核周期为每季度一次，由市智慧工地综合监管平台的技术支持单位进行考核，并提交考核结果。具体指标如下：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1）</w:t>
      </w:r>
      <w:r>
        <w:rPr>
          <w:rFonts w:hint="eastAsia" w:ascii="宋体" w:hAnsi="宋体" w:eastAsia="宋体" w:cs="Times New Roman"/>
          <w:sz w:val="24"/>
        </w:rPr>
        <w:t>技术支持人员响应速度（5分）：考核技术支持人员的响应速度，技术支持人员的响应速度越快，将酌情加分。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2）</w:t>
      </w:r>
      <w:r>
        <w:rPr>
          <w:rFonts w:hint="eastAsia" w:ascii="宋体" w:hAnsi="宋体" w:eastAsia="宋体" w:cs="Times New Roman"/>
          <w:sz w:val="24"/>
        </w:rPr>
        <w:t>技术支持人员技术能力（5分）：考核技术支持人员的技术能力，技术支持人员的技术能力越强，将酌情加分。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 系统升级情况（10分）：主要考核市智慧工地综合监管平台的系统升级情况。考核周期为每季度一次，由市智慧工地综合监管平台的系统升级单位进行考核，并提交考核结果。具体指标如下：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1）</w:t>
      </w:r>
      <w:r>
        <w:rPr>
          <w:rFonts w:hint="eastAsia" w:ascii="宋体" w:hAnsi="宋体" w:eastAsia="宋体" w:cs="Times New Roman"/>
          <w:sz w:val="24"/>
        </w:rPr>
        <w:t>系统升级及时性（5分）：考核系统升级的及时性，系统升级是否能够及时完成，如果系统升级及时性较差，将酌情扣分。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2）</w:t>
      </w:r>
      <w:r>
        <w:rPr>
          <w:rFonts w:hint="eastAsia" w:ascii="宋体" w:hAnsi="宋体" w:eastAsia="宋体" w:cs="Times New Roman"/>
          <w:sz w:val="24"/>
        </w:rPr>
        <w:t>系统升级稳定性（5分）：考核系统升级的稳定性，系统升级是否存在故障，如果系统升级稳定性较差，将酌情扣分。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6. 运维成本控制情况（10分）：主要考核市智慧工地综合监管平台的运维成本控制情况。考核周期为每年一次，由市智慧工地综合监管平台的运维管理单位进行考核，并提交考核结果。具体指标如下：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1）</w:t>
      </w:r>
      <w:r>
        <w:rPr>
          <w:rFonts w:hint="eastAsia" w:ascii="宋体" w:hAnsi="宋体" w:eastAsia="宋体" w:cs="Times New Roman"/>
          <w:sz w:val="24"/>
        </w:rPr>
        <w:t>成本合理性（5分）：考核运维成本是否合理，运维成本是否存在过高或过低的情况，如果成本合理性较差，将酌情扣分。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2）</w:t>
      </w:r>
      <w:r>
        <w:rPr>
          <w:rFonts w:hint="eastAsia" w:ascii="宋体" w:hAnsi="宋体" w:eastAsia="宋体" w:cs="Times New Roman"/>
          <w:sz w:val="24"/>
        </w:rPr>
        <w:t>成本节约性（5分）：考核运维成本是否节约，运维成本是否存在浪费的情况，如果成本节约性较差，将酌情扣分。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4" w:name="_Toc1125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考核方式</w:t>
      </w:r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 数据监测：采用市智慧工地综合监管平台的运行监测数据，对平台的运行情况进行考核。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 用户调查：采用市智慧工地综合监管平台的用户调查问卷，对用户的反馈情况进行考核。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 技术评估：采用市智慧工地综合监管平台的技术评估报告，对技术支持情况进行考核。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 系统升级评估：采用市智慧工地综合监管平台的系统升级评估报告，对系统升级情况进行考核。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</w:rPr>
        <w:t>5. 成本控制评估：采用市智慧工地综合监管平台的运维成本控制报告，对成本控制情况进行考核。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outlineLvl w:val="0"/>
        <w:rPr>
          <w:rFonts w:hint="eastAsia" w:cs="Times New Roman"/>
        </w:rPr>
      </w:pPr>
      <w:bookmarkStart w:id="5" w:name="_Toc15432"/>
      <w:r>
        <w:rPr>
          <w:rFonts w:hint="eastAsia" w:cs="Times New Roman"/>
          <w:lang w:val="en-US" w:eastAsia="zh-CN"/>
        </w:rPr>
        <w:t>考核结果应用</w:t>
      </w:r>
      <w:bookmarkEnd w:id="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 对考核结果良好的运维单位进行表扬和奖励。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 对考核结果不合格的运维单位进行整改要求和处罚。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 将考核结果作为市智慧工地综合监管平台运维管理的重要依据。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本考核方案自发布之日起生效，由市智慧工地综合监管平台运维管理单位负责解释和执行。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F3B0D"/>
    <w:multiLevelType w:val="multilevel"/>
    <w:tmpl w:val="1F0F3B0D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1E44EF0"/>
    <w:rsid w:val="01E44EF0"/>
    <w:rsid w:val="48DA28E2"/>
    <w:rsid w:val="7E9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340" w:after="33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0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2023-12-03T06:19:00Z</dcterms:created>
  <dc:creator>WPS_1682086503</dc:creator>
  <cp:lastModifiedBy>WPS_1682086503</cp:lastModifiedBy>
  <dcterms:modified xsi:type="dcterms:W3CDTF">2023-12-05T08:10:13Z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5CD627F864A44F3B924FB18C2FEF0D35_11</vt:lpwstr>
  </property>
</Properties>
</file>