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169" w:line="220" w:lineRule="auto"/>
        <w:jc w:val="center"/>
        <w:rPr>
          <w:rFonts w:hint="default" w:ascii="宋体" w:hAnsi="宋体" w:eastAsia="宋体" w:cs="宋体"/>
          <w:sz w:val="52"/>
          <w:szCs w:val="52"/>
          <w:lang w:val="en-US"/>
        </w:rPr>
      </w:pPr>
      <w:r>
        <w:rPr>
          <w:rFonts w:hint="eastAsia" w:ascii="宋体" w:hAnsi="宋体" w:eastAsia="宋体" w:cs="宋体"/>
          <w:sz w:val="52"/>
          <w:szCs w:val="52"/>
          <w:highlight w:val="none"/>
          <w:lang w:val="en-US" w:eastAsia="zh-CN"/>
          <w14:textOutline w14:w="9461" w14:cap="sq" w14:cmpd="sng">
            <w14:solidFill>
              <w14:srgbClr w14:val="000000"/>
            </w14:solidFill>
            <w14:prstDash w14:val="solid"/>
            <w14:bevel/>
          </w14:textOutline>
        </w:rPr>
        <w:t>第三</w:t>
      </w:r>
      <w:r>
        <w:rPr>
          <w:rFonts w:hint="eastAsia" w:ascii="宋体" w:hAnsi="宋体" w:eastAsia="宋体" w:cs="宋体"/>
          <w:sz w:val="52"/>
          <w:szCs w:val="52"/>
          <w:highlight w:val="none"/>
          <w:lang w:eastAsia="zh-CN"/>
          <w14:textOutline w14:w="9461" w14:cap="sq" w14:cmpd="sng">
            <w14:solidFill>
              <w14:srgbClr w14:val="000000"/>
            </w14:solidFill>
            <w14:prstDash w14:val="solid"/>
            <w14:bevel/>
          </w14:textOutline>
        </w:rPr>
        <w:t>届全国大学生</w:t>
      </w:r>
      <w:r>
        <w:rPr>
          <w:rFonts w:hint="eastAsia" w:ascii="宋体" w:hAnsi="宋体" w:eastAsia="宋体" w:cs="宋体"/>
          <w:sz w:val="52"/>
          <w:szCs w:val="52"/>
          <w:highlight w:val="none"/>
          <w:lang w:val="en-US" w:eastAsia="zh-CN"/>
          <w14:textOutline w14:w="9461" w14:cap="sq" w14:cmpd="sng">
            <w14:solidFill>
              <w14:srgbClr w14:val="000000"/>
            </w14:solidFill>
            <w14:prstDash w14:val="solid"/>
            <w14:bevel/>
          </w14:textOutline>
        </w:rPr>
        <w:t>公路工程计量与支付技能竞赛</w:t>
      </w:r>
      <w:r>
        <w:rPr>
          <w:rFonts w:hint="eastAsia" w:ascii="宋体" w:hAnsi="宋体" w:eastAsia="宋体" w:cs="宋体"/>
          <w:sz w:val="52"/>
          <w:szCs w:val="52"/>
          <w:lang w:eastAsia="zh-CN"/>
          <w14:textOutline w14:w="9461" w14:cap="sq" w14:cmpd="sng">
            <w14:solidFill>
              <w14:srgbClr w14:val="000000"/>
            </w14:solidFill>
            <w14:prstDash w14:val="solid"/>
            <w14:bevel/>
          </w14:textOutline>
        </w:rPr>
        <w:t>-案例</w:t>
      </w:r>
      <w:r>
        <w:rPr>
          <w:rFonts w:hint="eastAsia" w:ascii="宋体" w:hAnsi="宋体" w:eastAsia="宋体" w:cs="宋体"/>
          <w:sz w:val="52"/>
          <w:szCs w:val="52"/>
          <w:lang w:val="en-US" w:eastAsia="zh-CN"/>
          <w14:textOutline w14:w="9461" w14:cap="sq" w14:cmpd="sng">
            <w14:solidFill>
              <w14:srgbClr w14:val="000000"/>
            </w14:solidFill>
            <w14:prstDash w14:val="solid"/>
            <w14:bevel/>
          </w14:textOutline>
        </w:rPr>
        <w:t>4（公路）</w:t>
      </w: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97" w:line="624" w:lineRule="exact"/>
        <w:ind w:firstLine="2223"/>
        <w:outlineLvl w:val="0"/>
        <w:rPr>
          <w:rFonts w:ascii="宋体" w:hAnsi="宋体" w:eastAsia="宋体" w:cs="宋体"/>
          <w:sz w:val="30"/>
          <w:szCs w:val="30"/>
        </w:rPr>
      </w:pPr>
      <w:bookmarkStart w:id="0" w:name="_Toc14747"/>
      <w:bookmarkStart w:id="1" w:name="_Toc274"/>
      <w:r>
        <w:rPr>
          <w:rFonts w:ascii="宋体" w:hAnsi="宋体" w:eastAsia="宋体" w:cs="宋体"/>
          <w:position w:val="24"/>
          <w:sz w:val="30"/>
          <w:szCs w:val="30"/>
          <w14:textOutline w14:w="5448" w14:cap="sq" w14:cmpd="sng">
            <w14:solidFill>
              <w14:srgbClr w14:val="000000"/>
            </w14:solidFill>
            <w14:prstDash w14:val="solid"/>
            <w14:bevel/>
          </w14:textOutline>
        </w:rPr>
        <w:t>长沙计支宝信息科技有限公司</w:t>
      </w:r>
      <w:bookmarkEnd w:id="0"/>
      <w:bookmarkEnd w:id="1"/>
    </w:p>
    <w:p>
      <w:pPr>
        <w:spacing w:line="204" w:lineRule="auto"/>
        <w:ind w:firstLine="3315"/>
        <w:rPr>
          <w:rFonts w:ascii="宋体" w:hAnsi="宋体" w:eastAsia="宋体" w:cs="宋体"/>
          <w:sz w:val="30"/>
          <w:szCs w:val="30"/>
        </w:rPr>
      </w:pPr>
      <w:r>
        <w:rPr>
          <w:rFonts w:ascii="宋体" w:hAnsi="宋体" w:eastAsia="宋体" w:cs="宋体"/>
          <w:spacing w:val="-8"/>
          <w:sz w:val="30"/>
          <w:szCs w:val="30"/>
          <w14:textOutline w14:w="5448" w14:cap="sq" w14:cmpd="sng">
            <w14:solidFill>
              <w14:srgbClr w14:val="000000"/>
            </w14:solidFill>
            <w14:prstDash w14:val="solid"/>
            <w14:bevel/>
          </w14:textOutline>
        </w:rPr>
        <w:t>202</w:t>
      </w:r>
      <w:r>
        <w:rPr>
          <w:rFonts w:hint="eastAsia" w:ascii="宋体" w:hAnsi="宋体" w:eastAsia="宋体" w:cs="宋体"/>
          <w:spacing w:val="-8"/>
          <w:sz w:val="30"/>
          <w:szCs w:val="30"/>
          <w:lang w:val="en-US" w:eastAsia="zh-CN"/>
          <w14:textOutline w14:w="5448" w14:cap="sq" w14:cmpd="sng">
            <w14:solidFill>
              <w14:srgbClr w14:val="000000"/>
            </w14:solidFill>
            <w14:prstDash w14:val="solid"/>
            <w14:bevel/>
          </w14:textOutline>
        </w:rPr>
        <w:t>4</w:t>
      </w:r>
      <w:r>
        <w:rPr>
          <w:rFonts w:ascii="宋体" w:hAnsi="宋体" w:eastAsia="宋体" w:cs="宋体"/>
          <w:spacing w:val="-8"/>
          <w:sz w:val="30"/>
          <w:szCs w:val="30"/>
          <w14:textOutline w14:w="5448" w14:cap="sq" w14:cmpd="sng">
            <w14:solidFill>
              <w14:srgbClr w14:val="000000"/>
            </w14:solidFill>
            <w14:prstDash w14:val="solid"/>
            <w14:bevel/>
          </w14:textOutline>
        </w:rPr>
        <w:t>年</w:t>
      </w:r>
      <w:r>
        <w:rPr>
          <w:rFonts w:ascii="宋体" w:hAnsi="宋体" w:eastAsia="宋体" w:cs="宋体"/>
          <w:spacing w:val="-40"/>
          <w:sz w:val="30"/>
          <w:szCs w:val="30"/>
        </w:rPr>
        <w:t xml:space="preserve"> </w:t>
      </w:r>
      <w:r>
        <w:rPr>
          <w:rFonts w:hint="eastAsia" w:ascii="宋体" w:hAnsi="宋体" w:eastAsia="宋体" w:cs="宋体"/>
          <w:spacing w:val="-8"/>
          <w:sz w:val="30"/>
          <w:szCs w:val="30"/>
          <w:lang w:val="en-US" w:eastAsia="zh-CN"/>
          <w14:textOutline w14:w="5448" w14:cap="sq" w14:cmpd="sng">
            <w14:solidFill>
              <w14:srgbClr w14:val="000000"/>
            </w14:solidFill>
            <w14:prstDash w14:val="solid"/>
            <w14:bevel/>
          </w14:textOutline>
        </w:rPr>
        <w:t>10</w:t>
      </w:r>
      <w:r>
        <w:rPr>
          <w:rFonts w:ascii="宋体" w:hAnsi="宋体" w:eastAsia="宋体" w:cs="宋体"/>
          <w:spacing w:val="-40"/>
          <w:sz w:val="30"/>
          <w:szCs w:val="30"/>
        </w:rPr>
        <w:t xml:space="preserve"> </w:t>
      </w:r>
      <w:r>
        <w:rPr>
          <w:rFonts w:ascii="宋体" w:hAnsi="宋体" w:eastAsia="宋体" w:cs="宋体"/>
          <w:spacing w:val="-8"/>
          <w:sz w:val="30"/>
          <w:szCs w:val="30"/>
          <w14:textOutline w14:w="5448" w14:cap="sq" w14:cmpd="sng">
            <w14:solidFill>
              <w14:srgbClr w14:val="000000"/>
            </w14:solidFill>
            <w14:prstDash w14:val="solid"/>
            <w14:bevel/>
          </w14:textOutline>
        </w:rPr>
        <w:t>月</w:t>
      </w:r>
    </w:p>
    <w:p>
      <w:pPr>
        <w:sectPr>
          <w:headerReference r:id="rId5" w:type="default"/>
          <w:footerReference r:id="rId6" w:type="default"/>
          <w:pgSz w:w="11906" w:h="16839"/>
          <w:pgMar w:top="400" w:right="1785" w:bottom="2754" w:left="1785" w:header="0" w:footer="2400" w:gutter="0"/>
          <w:cols w:space="720" w:num="1"/>
        </w:sectPr>
      </w:pPr>
    </w:p>
    <w:p>
      <w:pPr>
        <w:spacing w:line="280" w:lineRule="auto"/>
        <w:rPr>
          <w:rFonts w:ascii="Arial"/>
          <w:sz w:val="21"/>
        </w:rPr>
      </w:pPr>
    </w:p>
    <w:sdt>
      <w:sdtPr>
        <w:rPr>
          <w:rFonts w:ascii="宋体" w:hAnsi="宋体" w:eastAsia="宋体" w:cs="Arial"/>
          <w:snapToGrid w:val="0"/>
          <w:color w:val="000000"/>
          <w:kern w:val="0"/>
          <w:sz w:val="21"/>
          <w:szCs w:val="21"/>
        </w:rPr>
        <w:id w:val="147459390"/>
        <w15:color w:val="DBDBDB"/>
        <w:docPartObj>
          <w:docPartGallery w:val="Table of Contents"/>
          <w:docPartUnique/>
        </w:docPartObj>
      </w:sdtPr>
      <w:sdtEndPr>
        <w:rPr>
          <w:rFonts w:ascii="Arial" w:hAnsi="Arial" w:eastAsia="Arial" w:cs="Arial"/>
          <w:snapToGrid w:val="0"/>
          <w:color w:val="000000"/>
          <w:kern w:val="0"/>
          <w:sz w:val="21"/>
          <w:szCs w:val="21"/>
        </w:rPr>
      </w:sdtEndPr>
      <w:sdtContent>
        <w:p>
          <w:pPr>
            <w:spacing w:before="0" w:beforeLines="0" w:after="0" w:afterLines="0" w:line="240" w:lineRule="auto"/>
            <w:ind w:left="0" w:leftChars="0" w:right="0" w:rightChars="0" w:firstLine="0" w:firstLineChars="0"/>
            <w:jc w:val="center"/>
            <w:rPr>
              <w:rFonts w:ascii="宋体" w:hAnsi="宋体" w:eastAsia="宋体" w:cs="Arial"/>
              <w:snapToGrid w:val="0"/>
              <w:color w:val="000000"/>
              <w:kern w:val="0"/>
              <w:sz w:val="21"/>
              <w:szCs w:val="21"/>
            </w:rPr>
          </w:pPr>
        </w:p>
        <w:p>
          <w:pPr>
            <w:spacing w:before="0" w:beforeLines="0" w:after="0" w:afterLines="0" w:line="240" w:lineRule="auto"/>
            <w:ind w:left="0" w:leftChars="0" w:right="0" w:rightChars="0" w:firstLine="0" w:firstLineChars="0"/>
            <w:jc w:val="center"/>
          </w:pPr>
          <w:r>
            <w:rPr>
              <w:rFonts w:ascii="宋体" w:hAnsi="宋体" w:eastAsia="宋体"/>
              <w:sz w:val="28"/>
              <w:szCs w:val="28"/>
            </w:rPr>
            <w:t>目录</w:t>
          </w:r>
        </w:p>
        <w:p>
          <w:pPr>
            <w:pStyle w:val="5"/>
            <w:tabs>
              <w:tab w:val="right" w:leader="dot" w:pos="9820"/>
            </w:tabs>
          </w:pPr>
          <w:r>
            <w:rPr>
              <w:rFonts w:ascii="Arial"/>
              <w:sz w:val="21"/>
            </w:rPr>
            <w:fldChar w:fldCharType="begin"/>
          </w:r>
          <w:r>
            <w:rPr>
              <w:rFonts w:ascii="Arial"/>
              <w:sz w:val="21"/>
            </w:rPr>
            <w:instrText xml:space="preserve">TOC \o "1-3" \h \u </w:instrText>
          </w:r>
          <w:r>
            <w:rPr>
              <w:rFonts w:ascii="Arial"/>
              <w:sz w:val="21"/>
            </w:rPr>
            <w:fldChar w:fldCharType="separate"/>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_Toc3231 </w:instrText>
          </w:r>
          <w:r>
            <w:rPr>
              <w:rFonts w:ascii="Arial"/>
              <w:sz w:val="24"/>
              <w:szCs w:val="24"/>
            </w:rPr>
            <w:fldChar w:fldCharType="separate"/>
          </w:r>
          <w:r>
            <w:rPr>
              <w:rFonts w:hint="eastAsia" w:ascii="宋体" w:hAnsi="宋体" w:eastAsia="宋体" w:cs="宋体"/>
              <w:sz w:val="24"/>
              <w:szCs w:val="24"/>
            </w:rPr>
            <w:t>一</w:t>
          </w:r>
          <w:r>
            <w:rPr>
              <w:rFonts w:hint="eastAsia" w:ascii="宋体" w:hAnsi="宋体" w:eastAsia="宋体" w:cs="宋体"/>
              <w:sz w:val="24"/>
              <w:szCs w:val="24"/>
              <w:lang w:eastAsia="zh-CN"/>
            </w:rPr>
            <w:t>、</w:t>
          </w:r>
          <w:r>
            <w:rPr>
              <w:rFonts w:hint="eastAsia" w:ascii="宋体" w:hAnsi="宋体" w:eastAsia="宋体" w:cs="宋体"/>
              <w:sz w:val="24"/>
              <w:szCs w:val="24"/>
            </w:rPr>
            <w:t>工程项目概况</w:t>
          </w:r>
          <w:r>
            <w:rPr>
              <w:sz w:val="24"/>
              <w:szCs w:val="24"/>
            </w:rPr>
            <w:tab/>
          </w:r>
          <w:r>
            <w:rPr>
              <w:sz w:val="24"/>
              <w:szCs w:val="24"/>
            </w:rPr>
            <w:fldChar w:fldCharType="begin"/>
          </w:r>
          <w:r>
            <w:rPr>
              <w:sz w:val="24"/>
              <w:szCs w:val="24"/>
            </w:rPr>
            <w:instrText xml:space="preserve"> PAGEREF _Toc3231 \h </w:instrText>
          </w:r>
          <w:r>
            <w:rPr>
              <w:sz w:val="24"/>
              <w:szCs w:val="24"/>
            </w:rPr>
            <w:fldChar w:fldCharType="separate"/>
          </w:r>
          <w:r>
            <w:rPr>
              <w:sz w:val="24"/>
              <w:szCs w:val="24"/>
            </w:rPr>
            <w:t>1</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_Toc22539 </w:instrText>
          </w:r>
          <w:r>
            <w:rPr>
              <w:rFonts w:ascii="Arial"/>
              <w:sz w:val="24"/>
              <w:szCs w:val="24"/>
            </w:rPr>
            <w:fldChar w:fldCharType="separate"/>
          </w:r>
          <w:r>
            <w:rPr>
              <w:rFonts w:hint="eastAsia" w:ascii="宋体" w:hAnsi="宋体" w:eastAsia="宋体" w:cs="宋体"/>
              <w:sz w:val="24"/>
              <w:szCs w:val="24"/>
              <w:lang w:val="en-US" w:eastAsia="zh-CN"/>
            </w:rPr>
            <w:t>二</w:t>
          </w:r>
          <w:r>
            <w:rPr>
              <w:rFonts w:hint="eastAsia" w:ascii="宋体" w:hAnsi="宋体" w:eastAsia="宋体" w:cs="宋体"/>
              <w:sz w:val="24"/>
              <w:szCs w:val="24"/>
              <w:lang w:eastAsia="zh-CN"/>
            </w:rPr>
            <w:t>、</w:t>
          </w:r>
          <w:r>
            <w:rPr>
              <w:rFonts w:hint="eastAsia" w:ascii="宋体" w:hAnsi="宋体" w:eastAsia="宋体" w:cs="宋体"/>
              <w:sz w:val="24"/>
              <w:szCs w:val="24"/>
            </w:rPr>
            <w:t>施工合同</w:t>
          </w:r>
          <w:r>
            <w:rPr>
              <w:sz w:val="24"/>
              <w:szCs w:val="24"/>
            </w:rPr>
            <w:tab/>
          </w:r>
          <w:r>
            <w:rPr>
              <w:sz w:val="24"/>
              <w:szCs w:val="24"/>
            </w:rPr>
            <w:fldChar w:fldCharType="begin"/>
          </w:r>
          <w:r>
            <w:rPr>
              <w:sz w:val="24"/>
              <w:szCs w:val="24"/>
            </w:rPr>
            <w:instrText xml:space="preserve"> PAGEREF _Toc22539 \h </w:instrText>
          </w:r>
          <w:r>
            <w:rPr>
              <w:sz w:val="24"/>
              <w:szCs w:val="24"/>
            </w:rPr>
            <w:fldChar w:fldCharType="separate"/>
          </w:r>
          <w:r>
            <w:rPr>
              <w:sz w:val="24"/>
              <w:szCs w:val="24"/>
            </w:rPr>
            <w:t>2</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_Toc20995 </w:instrText>
          </w:r>
          <w:r>
            <w:rPr>
              <w:rFonts w:ascii="Arial"/>
              <w:sz w:val="24"/>
              <w:szCs w:val="24"/>
            </w:rPr>
            <w:fldChar w:fldCharType="separate"/>
          </w:r>
          <w:r>
            <w:rPr>
              <w:rFonts w:hint="eastAsia" w:ascii="宋体" w:hAnsi="宋体" w:eastAsia="宋体" w:cs="宋体"/>
              <w:sz w:val="24"/>
              <w:szCs w:val="24"/>
              <w:lang w:val="en-US" w:eastAsia="zh-CN"/>
            </w:rPr>
            <w:t>三</w:t>
          </w:r>
          <w:r>
            <w:rPr>
              <w:rFonts w:hint="eastAsia" w:ascii="宋体" w:hAnsi="宋体" w:eastAsia="宋体" w:cs="宋体"/>
              <w:sz w:val="24"/>
              <w:szCs w:val="24"/>
              <w:lang w:eastAsia="zh-CN"/>
            </w:rPr>
            <w:t>、合同工程量清单</w:t>
          </w:r>
          <w:r>
            <w:rPr>
              <w:sz w:val="24"/>
              <w:szCs w:val="24"/>
            </w:rPr>
            <w:tab/>
          </w:r>
          <w:r>
            <w:rPr>
              <w:sz w:val="24"/>
              <w:szCs w:val="24"/>
            </w:rPr>
            <w:fldChar w:fldCharType="begin"/>
          </w:r>
          <w:r>
            <w:rPr>
              <w:sz w:val="24"/>
              <w:szCs w:val="24"/>
            </w:rPr>
            <w:instrText xml:space="preserve"> PAGEREF _Toc20995 \h </w:instrText>
          </w:r>
          <w:r>
            <w:rPr>
              <w:sz w:val="24"/>
              <w:szCs w:val="24"/>
            </w:rPr>
            <w:fldChar w:fldCharType="separate"/>
          </w:r>
          <w:r>
            <w:rPr>
              <w:sz w:val="24"/>
              <w:szCs w:val="24"/>
            </w:rPr>
            <w:t>94</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_Toc3643 </w:instrText>
          </w:r>
          <w:r>
            <w:rPr>
              <w:rFonts w:ascii="Arial"/>
              <w:sz w:val="24"/>
              <w:szCs w:val="24"/>
            </w:rPr>
            <w:fldChar w:fldCharType="separate"/>
          </w:r>
          <w:r>
            <w:rPr>
              <w:rFonts w:hint="eastAsia" w:ascii="宋体" w:hAnsi="宋体" w:eastAsia="宋体" w:cs="宋体"/>
              <w:sz w:val="24"/>
              <w:szCs w:val="24"/>
              <w:lang w:val="en-US" w:eastAsia="zh-CN"/>
            </w:rPr>
            <w:t>四</w:t>
          </w:r>
          <w:r>
            <w:rPr>
              <w:rFonts w:hint="eastAsia" w:ascii="宋体" w:hAnsi="宋体" w:eastAsia="宋体" w:cs="宋体"/>
              <w:sz w:val="24"/>
              <w:szCs w:val="24"/>
              <w:lang w:eastAsia="zh-CN"/>
            </w:rPr>
            <w:t>、监理合同</w:t>
          </w:r>
          <w:r>
            <w:rPr>
              <w:sz w:val="24"/>
              <w:szCs w:val="24"/>
            </w:rPr>
            <w:tab/>
          </w:r>
          <w:r>
            <w:rPr>
              <w:sz w:val="24"/>
              <w:szCs w:val="24"/>
            </w:rPr>
            <w:fldChar w:fldCharType="begin"/>
          </w:r>
          <w:r>
            <w:rPr>
              <w:sz w:val="24"/>
              <w:szCs w:val="24"/>
            </w:rPr>
            <w:instrText xml:space="preserve"> PAGEREF _Toc3643 \h </w:instrText>
          </w:r>
          <w:r>
            <w:rPr>
              <w:sz w:val="24"/>
              <w:szCs w:val="24"/>
            </w:rPr>
            <w:fldChar w:fldCharType="separate"/>
          </w:r>
          <w:r>
            <w:rPr>
              <w:sz w:val="24"/>
              <w:szCs w:val="24"/>
            </w:rPr>
            <w:t>102</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_Toc15390 </w:instrText>
          </w:r>
          <w:r>
            <w:rPr>
              <w:rFonts w:ascii="Arial"/>
              <w:sz w:val="24"/>
              <w:szCs w:val="24"/>
            </w:rPr>
            <w:fldChar w:fldCharType="separate"/>
          </w:r>
          <w:r>
            <w:rPr>
              <w:rFonts w:hint="eastAsia" w:ascii="宋体" w:hAnsi="宋体" w:eastAsia="宋体" w:cs="宋体"/>
              <w:sz w:val="24"/>
              <w:szCs w:val="24"/>
              <w:lang w:val="en-US" w:eastAsia="zh-CN"/>
            </w:rPr>
            <w:t>五</w:t>
          </w:r>
          <w:r>
            <w:rPr>
              <w:rFonts w:hint="eastAsia" w:ascii="宋体" w:hAnsi="宋体" w:eastAsia="宋体" w:cs="宋体"/>
              <w:sz w:val="24"/>
              <w:szCs w:val="24"/>
              <w:lang w:eastAsia="zh-CN"/>
            </w:rPr>
            <w:t>、变更资料</w:t>
          </w:r>
          <w:r>
            <w:rPr>
              <w:sz w:val="24"/>
              <w:szCs w:val="24"/>
            </w:rPr>
            <w:tab/>
          </w:r>
          <w:r>
            <w:rPr>
              <w:sz w:val="24"/>
              <w:szCs w:val="24"/>
            </w:rPr>
            <w:fldChar w:fldCharType="begin"/>
          </w:r>
          <w:r>
            <w:rPr>
              <w:sz w:val="24"/>
              <w:szCs w:val="24"/>
            </w:rPr>
            <w:instrText xml:space="preserve"> PAGEREF _Toc15390 \h </w:instrText>
          </w:r>
          <w:r>
            <w:rPr>
              <w:sz w:val="24"/>
              <w:szCs w:val="24"/>
            </w:rPr>
            <w:fldChar w:fldCharType="separate"/>
          </w:r>
          <w:r>
            <w:rPr>
              <w:sz w:val="24"/>
              <w:szCs w:val="24"/>
            </w:rPr>
            <w:t>114</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_Toc16212 </w:instrText>
          </w:r>
          <w:r>
            <w:rPr>
              <w:rFonts w:ascii="Arial"/>
              <w:sz w:val="24"/>
              <w:szCs w:val="24"/>
            </w:rPr>
            <w:fldChar w:fldCharType="separate"/>
          </w:r>
          <w:r>
            <w:rPr>
              <w:rFonts w:hint="eastAsia"/>
              <w:sz w:val="24"/>
              <w:szCs w:val="24"/>
              <w:lang w:val="en-US" w:eastAsia="zh-CN"/>
            </w:rPr>
            <w:t>六</w:t>
          </w:r>
          <w:r>
            <w:rPr>
              <w:rFonts w:hint="eastAsia"/>
              <w:sz w:val="24"/>
              <w:szCs w:val="24"/>
              <w:lang w:eastAsia="zh-CN"/>
            </w:rPr>
            <w:t>、</w:t>
          </w:r>
          <w:r>
            <w:rPr>
              <w:rFonts w:hint="eastAsia"/>
              <w:sz w:val="24"/>
              <w:szCs w:val="24"/>
              <w:lang w:val="en-US" w:eastAsia="zh-CN"/>
            </w:rPr>
            <w:t>材料调差资料</w:t>
          </w:r>
          <w:r>
            <w:rPr>
              <w:sz w:val="24"/>
              <w:szCs w:val="24"/>
            </w:rPr>
            <w:tab/>
          </w:r>
          <w:r>
            <w:rPr>
              <w:sz w:val="24"/>
              <w:szCs w:val="24"/>
            </w:rPr>
            <w:fldChar w:fldCharType="begin"/>
          </w:r>
          <w:r>
            <w:rPr>
              <w:sz w:val="24"/>
              <w:szCs w:val="24"/>
            </w:rPr>
            <w:instrText xml:space="preserve"> PAGEREF _Toc16212 \h </w:instrText>
          </w:r>
          <w:r>
            <w:rPr>
              <w:sz w:val="24"/>
              <w:szCs w:val="24"/>
            </w:rPr>
            <w:fldChar w:fldCharType="separate"/>
          </w:r>
          <w:r>
            <w:rPr>
              <w:sz w:val="24"/>
              <w:szCs w:val="24"/>
            </w:rPr>
            <w:t>117</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sz w:val="24"/>
              <w:szCs w:val="24"/>
            </w:rPr>
          </w:pPr>
          <w:r>
            <w:rPr>
              <w:rFonts w:ascii="Arial"/>
              <w:sz w:val="24"/>
              <w:szCs w:val="24"/>
            </w:rPr>
            <w:fldChar w:fldCharType="begin"/>
          </w:r>
          <w:r>
            <w:rPr>
              <w:rFonts w:ascii="Arial"/>
              <w:sz w:val="24"/>
              <w:szCs w:val="24"/>
            </w:rPr>
            <w:instrText xml:space="preserve"> HYPERLINK \l _Toc11077 </w:instrText>
          </w:r>
          <w:r>
            <w:rPr>
              <w:rFonts w:ascii="Arial"/>
              <w:sz w:val="24"/>
              <w:szCs w:val="24"/>
            </w:rPr>
            <w:fldChar w:fldCharType="separate"/>
          </w:r>
          <w:r>
            <w:rPr>
              <w:rFonts w:hint="eastAsia"/>
              <w:sz w:val="24"/>
              <w:szCs w:val="24"/>
              <w:lang w:val="en-US" w:eastAsia="zh-CN"/>
            </w:rPr>
            <w:t>七</w:t>
          </w:r>
          <w:r>
            <w:rPr>
              <w:rFonts w:hint="eastAsia"/>
              <w:sz w:val="24"/>
              <w:szCs w:val="24"/>
              <w:lang w:eastAsia="zh-CN"/>
            </w:rPr>
            <w:t>、本期计量完成统计表</w:t>
          </w:r>
          <w:r>
            <w:rPr>
              <w:sz w:val="24"/>
              <w:szCs w:val="24"/>
            </w:rPr>
            <w:tab/>
          </w:r>
          <w:r>
            <w:rPr>
              <w:sz w:val="24"/>
              <w:szCs w:val="24"/>
            </w:rPr>
            <w:fldChar w:fldCharType="begin"/>
          </w:r>
          <w:r>
            <w:rPr>
              <w:sz w:val="24"/>
              <w:szCs w:val="24"/>
            </w:rPr>
            <w:instrText xml:space="preserve"> PAGEREF _Toc11077 \h </w:instrText>
          </w:r>
          <w:r>
            <w:rPr>
              <w:sz w:val="24"/>
              <w:szCs w:val="24"/>
            </w:rPr>
            <w:fldChar w:fldCharType="separate"/>
          </w:r>
          <w:r>
            <w:rPr>
              <w:sz w:val="24"/>
              <w:szCs w:val="24"/>
            </w:rPr>
            <w:t>119</w:t>
          </w:r>
          <w:r>
            <w:rPr>
              <w:sz w:val="24"/>
              <w:szCs w:val="24"/>
            </w:rPr>
            <w:fldChar w:fldCharType="end"/>
          </w:r>
          <w:r>
            <w:rPr>
              <w:rFonts w:ascii="Arial"/>
              <w:sz w:val="24"/>
              <w:szCs w:val="24"/>
            </w:rPr>
            <w:fldChar w:fldCharType="end"/>
          </w:r>
        </w:p>
        <w:p>
          <w:pPr>
            <w:pStyle w:val="3"/>
            <w:keepNext w:val="0"/>
            <w:keepLines w:val="0"/>
            <w:pageBreakBefore w:val="0"/>
            <w:widowControl/>
            <w:tabs>
              <w:tab w:val="right" w:leader="dot" w:pos="9820"/>
            </w:tabs>
            <w:kinsoku w:val="0"/>
            <w:wordWrap/>
            <w:overflowPunct/>
            <w:topLinePunct w:val="0"/>
            <w:autoSpaceDE w:val="0"/>
            <w:autoSpaceDN w:val="0"/>
            <w:bidi w:val="0"/>
            <w:adjustRightInd w:val="0"/>
            <w:snapToGrid w:val="0"/>
            <w:spacing w:line="360" w:lineRule="auto"/>
            <w:ind w:left="0" w:leftChars="0" w:firstLine="0" w:firstLineChars="0"/>
            <w:textAlignment w:val="baseline"/>
            <w:rPr>
              <w:rFonts w:ascii="Arial"/>
            </w:rPr>
          </w:pPr>
          <w:r>
            <w:rPr>
              <w:rFonts w:ascii="Arial"/>
              <w:sz w:val="24"/>
              <w:szCs w:val="24"/>
            </w:rPr>
            <w:fldChar w:fldCharType="begin"/>
          </w:r>
          <w:r>
            <w:rPr>
              <w:rFonts w:ascii="Arial"/>
              <w:sz w:val="24"/>
              <w:szCs w:val="24"/>
            </w:rPr>
            <w:instrText xml:space="preserve"> HYPERLINK \l _Toc23528 </w:instrText>
          </w:r>
          <w:r>
            <w:rPr>
              <w:rFonts w:ascii="Arial"/>
              <w:sz w:val="24"/>
              <w:szCs w:val="24"/>
            </w:rPr>
            <w:fldChar w:fldCharType="separate"/>
          </w:r>
          <w:r>
            <w:rPr>
              <w:rFonts w:hint="eastAsia" w:eastAsia="宋体"/>
              <w:sz w:val="24"/>
              <w:szCs w:val="24"/>
              <w:lang w:val="en-US" w:eastAsia="zh-CN"/>
            </w:rPr>
            <w:t>八</w:t>
          </w:r>
          <w:r>
            <w:rPr>
              <w:rFonts w:hint="eastAsia"/>
              <w:sz w:val="24"/>
              <w:szCs w:val="24"/>
              <w:lang w:eastAsia="zh-CN"/>
            </w:rPr>
            <w:t>、附件资料</w:t>
          </w:r>
          <w:r>
            <w:rPr>
              <w:sz w:val="24"/>
              <w:szCs w:val="24"/>
            </w:rPr>
            <w:tab/>
          </w:r>
          <w:r>
            <w:rPr>
              <w:sz w:val="24"/>
              <w:szCs w:val="24"/>
            </w:rPr>
            <w:fldChar w:fldCharType="begin"/>
          </w:r>
          <w:r>
            <w:rPr>
              <w:sz w:val="24"/>
              <w:szCs w:val="24"/>
            </w:rPr>
            <w:instrText xml:space="preserve"> PAGEREF _Toc23528 \h </w:instrText>
          </w:r>
          <w:r>
            <w:rPr>
              <w:sz w:val="24"/>
              <w:szCs w:val="24"/>
            </w:rPr>
            <w:fldChar w:fldCharType="separate"/>
          </w:r>
          <w:r>
            <w:rPr>
              <w:sz w:val="24"/>
              <w:szCs w:val="24"/>
            </w:rPr>
            <w:t>120</w:t>
          </w:r>
          <w:r>
            <w:rPr>
              <w:sz w:val="24"/>
              <w:szCs w:val="24"/>
            </w:rPr>
            <w:fldChar w:fldCharType="end"/>
          </w:r>
          <w:r>
            <w:rPr>
              <w:rFonts w:ascii="Arial"/>
              <w:sz w:val="24"/>
              <w:szCs w:val="24"/>
            </w:rPr>
            <w:fldChar w:fldCharType="end"/>
          </w:r>
          <w:r>
            <w:rPr>
              <w:rFonts w:ascii="Arial"/>
            </w:rPr>
            <w:fldChar w:fldCharType="end"/>
          </w:r>
        </w:p>
        <w:p>
          <w:pPr>
            <w:spacing w:line="247" w:lineRule="auto"/>
            <w:rPr>
              <w:rFonts w:ascii="Arial" w:hAnsi="Arial" w:eastAsia="Arial" w:cs="Arial"/>
              <w:snapToGrid w:val="0"/>
              <w:color w:val="000000"/>
              <w:kern w:val="0"/>
              <w:sz w:val="21"/>
              <w:szCs w:val="21"/>
            </w:rPr>
            <w:sectPr>
              <w:headerReference r:id="rId7" w:type="default"/>
              <w:footerReference r:id="rId8" w:type="default"/>
              <w:pgSz w:w="11906" w:h="16839"/>
              <w:pgMar w:top="400" w:right="999" w:bottom="1156" w:left="1087" w:header="0" w:footer="996" w:gutter="0"/>
              <w:pgNumType w:fmt="decimal"/>
              <w:cols w:space="720" w:num="1"/>
            </w:sectPr>
          </w:pPr>
        </w:p>
        <w:p>
          <w:pPr>
            <w:spacing w:line="247" w:lineRule="auto"/>
            <w:rPr>
              <w:rFonts w:ascii="Arial"/>
              <w:sz w:val="21"/>
            </w:rPr>
          </w:pPr>
        </w:p>
      </w:sdtContent>
    </w:sdt>
    <w:p>
      <w:pPr>
        <w:pStyle w:val="2"/>
        <w:bidi w:val="0"/>
        <w:outlineLvl w:val="1"/>
        <w:rPr>
          <w:rFonts w:ascii="Arial"/>
          <w:sz w:val="21"/>
        </w:rPr>
      </w:pPr>
      <w:bookmarkStart w:id="2" w:name="_Toc3231"/>
      <w:r>
        <w:rPr>
          <w:rFonts w:hint="eastAsia" w:ascii="宋体" w:hAnsi="宋体" w:eastAsia="宋体" w:cs="宋体"/>
        </w:rPr>
        <w:t>一</w:t>
      </w:r>
      <w:r>
        <w:rPr>
          <w:rFonts w:hint="eastAsia" w:ascii="宋体" w:hAnsi="宋体" w:eastAsia="宋体" w:cs="宋体"/>
          <w:lang w:eastAsia="zh-CN"/>
        </w:rPr>
        <w:t>、</w:t>
      </w:r>
      <w:r>
        <w:rPr>
          <w:rFonts w:hint="eastAsia" w:ascii="宋体" w:hAnsi="宋体" w:eastAsia="宋体" w:cs="宋体"/>
        </w:rPr>
        <w:t>工程项目概况</w:t>
      </w:r>
      <w:bookmarkEnd w:id="2"/>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rPr>
        <w:t>1.项目编号：</w:t>
      </w:r>
      <w:r>
        <w:rPr>
          <w:rFonts w:hint="eastAsia" w:ascii="宋体" w:hAnsi="宋体" w:eastAsia="宋体" w:cs="宋体"/>
          <w:spacing w:val="8"/>
          <w:sz w:val="24"/>
          <w:szCs w:val="24"/>
          <w:lang w:val="en-US" w:eastAsia="zh-CN"/>
        </w:rPr>
        <w:t>004</w:t>
      </w:r>
      <w:r>
        <w:rPr>
          <w:rFonts w:hint="eastAsia" w:ascii="宋体" w:hAnsi="宋体" w:eastAsia="宋体" w:cs="宋体"/>
          <w:spacing w:val="8"/>
          <w:sz w:val="24"/>
          <w:szCs w:val="24"/>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rPr>
        <w:t>2.项目名称：</w:t>
      </w:r>
      <w:r>
        <w:rPr>
          <w:rFonts w:hint="eastAsia" w:ascii="宋体" w:hAnsi="宋体" w:eastAsia="宋体" w:cs="宋体"/>
          <w:spacing w:val="8"/>
          <w:sz w:val="24"/>
          <w:szCs w:val="24"/>
          <w:lang w:val="en-US" w:eastAsia="zh-CN"/>
        </w:rPr>
        <w:t>004</w:t>
      </w:r>
      <w:r>
        <w:rPr>
          <w:rFonts w:hint="eastAsia" w:ascii="宋体" w:hAnsi="宋体" w:eastAsia="宋体" w:cs="宋体"/>
          <w:spacing w:val="8"/>
          <w:sz w:val="24"/>
          <w:szCs w:val="24"/>
        </w:rPr>
        <w:t>天心高速公路工程项目</w:t>
      </w:r>
      <w:r>
        <w:rPr>
          <w:rFonts w:hint="eastAsia" w:ascii="宋体" w:hAnsi="宋体" w:eastAsia="宋体" w:cs="宋体"/>
          <w:spacing w:val="8"/>
          <w:sz w:val="24"/>
          <w:szCs w:val="24"/>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rPr>
        <w:t>3.建设单位：</w:t>
      </w:r>
      <w:r>
        <w:rPr>
          <w:rFonts w:hint="eastAsia" w:ascii="宋体" w:hAnsi="宋体" w:eastAsia="宋体" w:cs="宋体"/>
          <w:spacing w:val="8"/>
          <w:sz w:val="24"/>
          <w:szCs w:val="24"/>
          <w:lang w:val="en-US" w:eastAsia="zh-CN"/>
        </w:rPr>
        <w:t>004</w:t>
      </w:r>
      <w:r>
        <w:rPr>
          <w:rFonts w:hint="eastAsia" w:ascii="宋体" w:hAnsi="宋体" w:eastAsia="宋体" w:cs="宋体"/>
          <w:spacing w:val="8"/>
          <w:sz w:val="24"/>
          <w:szCs w:val="24"/>
        </w:rPr>
        <w:t>宏大交通高速公路集团有限公司</w:t>
      </w:r>
      <w:r>
        <w:rPr>
          <w:rFonts w:hint="eastAsia" w:ascii="宋体" w:hAnsi="宋体" w:eastAsia="宋体" w:cs="宋体"/>
          <w:spacing w:val="8"/>
          <w:sz w:val="24"/>
          <w:szCs w:val="24"/>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rPr>
        <w:t>4.建设地点：</w:t>
      </w:r>
      <w:r>
        <w:rPr>
          <w:rFonts w:hint="eastAsia" w:ascii="宋体" w:hAnsi="宋体" w:eastAsia="宋体" w:cs="宋体"/>
          <w:spacing w:val="8"/>
          <w:sz w:val="24"/>
          <w:szCs w:val="24"/>
          <w:lang w:eastAsia="zh-CN"/>
        </w:rPr>
        <w:t>辽宁省丹东市。</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5.建设规模：</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天心高速公路工程项目由宏大交通高速公路集团有限公司投资，该高速公路起自丹东东港市大孤山口，贯穿岫岩八镇海城七镇，与沈大高速公路和盘海高速公路交会处相连。在鞍山境内有8个高速公路出口，分别为洋河出口、岫岩南出口、岫岩出口、偏岭出口、孤山出口（海城）、析木出口、牌楼出口和海城南毛祁出口。设服务区两个：岫岩服务区、析木服务区（111公里处）。该高速公路牌楼以西路段为平原地带，以东为山区，施工难度极大，为保护森林资源、防止植被破坏，天心高速公路共有7条隧道，从东至西依次为罗圈背隧道、旧岭隧道、杨家堡隧道、佟家隧道、二道河子隧道、乔家隧道（760m）、韩宝寺隧道（1650m，89公里处）。全长143.125公里，在鞍山境内总长为126公里。限速100公里。全线共有特大桥、大桥50座，互通立交11座，隧道7座。</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rPr>
        <w:t>6.建设工期要求：</w:t>
      </w:r>
      <w:r>
        <w:rPr>
          <w:rFonts w:hint="eastAsia" w:ascii="宋体" w:hAnsi="宋体" w:eastAsia="宋体" w:cs="宋体"/>
          <w:spacing w:val="8"/>
          <w:sz w:val="24"/>
          <w:szCs w:val="24"/>
          <w:lang w:val="en-US" w:eastAsia="zh-CN"/>
        </w:rPr>
        <w:t>24</w:t>
      </w:r>
      <w:r>
        <w:rPr>
          <w:rFonts w:hint="eastAsia" w:ascii="宋体" w:hAnsi="宋体" w:eastAsia="宋体" w:cs="宋体"/>
          <w:spacing w:val="8"/>
          <w:sz w:val="24"/>
          <w:szCs w:val="24"/>
        </w:rPr>
        <w:t>个月</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rPr>
        <w:t>计划工期：20</w:t>
      </w:r>
      <w:r>
        <w:rPr>
          <w:rFonts w:hint="eastAsia" w:ascii="宋体" w:hAnsi="宋体" w:eastAsia="宋体" w:cs="宋体"/>
          <w:spacing w:val="8"/>
          <w:sz w:val="24"/>
          <w:szCs w:val="24"/>
          <w:lang w:val="en-US" w:eastAsia="zh-CN"/>
        </w:rPr>
        <w:t>19</w:t>
      </w:r>
      <w:r>
        <w:rPr>
          <w:rFonts w:hint="eastAsia" w:ascii="宋体" w:hAnsi="宋体" w:eastAsia="宋体" w:cs="宋体"/>
          <w:spacing w:val="8"/>
          <w:sz w:val="24"/>
          <w:szCs w:val="24"/>
        </w:rPr>
        <w:t>年1月—202</w:t>
      </w:r>
      <w:r>
        <w:rPr>
          <w:rFonts w:hint="eastAsia" w:ascii="宋体" w:hAnsi="宋体" w:eastAsia="宋体" w:cs="宋体"/>
          <w:spacing w:val="8"/>
          <w:sz w:val="24"/>
          <w:szCs w:val="24"/>
          <w:lang w:val="en-US" w:eastAsia="zh-CN"/>
        </w:rPr>
        <w:t>1</w:t>
      </w:r>
      <w:r>
        <w:rPr>
          <w:rFonts w:hint="eastAsia" w:ascii="宋体" w:hAnsi="宋体" w:eastAsia="宋体" w:cs="宋体"/>
          <w:spacing w:val="8"/>
          <w:sz w:val="24"/>
          <w:szCs w:val="24"/>
        </w:rPr>
        <w:t>年</w:t>
      </w:r>
      <w:r>
        <w:rPr>
          <w:rFonts w:hint="eastAsia" w:ascii="宋体" w:hAnsi="宋体" w:eastAsia="宋体" w:cs="宋体"/>
          <w:spacing w:val="8"/>
          <w:sz w:val="24"/>
          <w:szCs w:val="24"/>
          <w:lang w:val="en-US" w:eastAsia="zh-CN"/>
        </w:rPr>
        <w:t>1</w:t>
      </w:r>
      <w:r>
        <w:rPr>
          <w:rFonts w:hint="eastAsia" w:ascii="宋体" w:hAnsi="宋体" w:eastAsia="宋体" w:cs="宋体"/>
          <w:spacing w:val="8"/>
          <w:sz w:val="24"/>
          <w:szCs w:val="24"/>
        </w:rPr>
        <w:t>月</w:t>
      </w:r>
      <w:r>
        <w:rPr>
          <w:rFonts w:hint="eastAsia" w:ascii="宋体" w:hAnsi="宋体" w:eastAsia="宋体" w:cs="宋体"/>
          <w:spacing w:val="8"/>
          <w:sz w:val="24"/>
          <w:szCs w:val="24"/>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rPr>
        <w:t>7.建设计划总投资：</w:t>
      </w:r>
      <w:r>
        <w:rPr>
          <w:rFonts w:hint="eastAsia" w:ascii="宋体" w:hAnsi="宋体" w:eastAsia="宋体" w:cs="宋体"/>
          <w:spacing w:val="8"/>
          <w:sz w:val="24"/>
          <w:szCs w:val="24"/>
          <w:lang w:val="en-US" w:eastAsia="zh-CN"/>
        </w:rPr>
        <w:t>836141</w:t>
      </w:r>
      <w:r>
        <w:rPr>
          <w:rFonts w:hint="eastAsia" w:ascii="宋体" w:hAnsi="宋体" w:eastAsia="宋体" w:cs="宋体"/>
          <w:spacing w:val="8"/>
          <w:sz w:val="24"/>
          <w:szCs w:val="24"/>
        </w:rPr>
        <w:t>万元</w:t>
      </w: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投资性质：政府投资</w:t>
      </w:r>
      <w:r>
        <w:rPr>
          <w:rFonts w:hint="eastAsia" w:ascii="宋体" w:hAnsi="宋体" w:eastAsia="宋体" w:cs="宋体"/>
          <w:spacing w:val="8"/>
          <w:sz w:val="24"/>
          <w:szCs w:val="24"/>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74" w:line="360" w:lineRule="auto"/>
        <w:ind w:left="0" w:right="28"/>
        <w:textAlignment w:val="baseline"/>
        <w:rPr>
          <w:rFonts w:hint="eastAsia" w:ascii="宋体" w:hAnsi="宋体" w:eastAsia="宋体" w:cs="宋体"/>
          <w:sz w:val="23"/>
          <w:szCs w:val="23"/>
          <w:lang w:eastAsia="zh-CN"/>
        </w:rPr>
      </w:pPr>
      <w:r>
        <w:rPr>
          <w:rFonts w:hint="eastAsia" w:ascii="宋体" w:hAnsi="宋体" w:eastAsia="宋体" w:cs="宋体"/>
          <w:spacing w:val="8"/>
          <w:sz w:val="24"/>
          <w:szCs w:val="24"/>
        </w:rPr>
        <w:t>8.建安费：</w:t>
      </w:r>
      <w:r>
        <w:rPr>
          <w:rFonts w:hint="eastAsia" w:ascii="宋体" w:hAnsi="宋体" w:eastAsia="宋体" w:cs="宋体"/>
          <w:spacing w:val="8"/>
          <w:sz w:val="24"/>
          <w:szCs w:val="24"/>
          <w:lang w:val="en-US" w:eastAsia="zh-CN"/>
        </w:rPr>
        <w:t>725341万</w:t>
      </w:r>
      <w:r>
        <w:rPr>
          <w:rFonts w:hint="eastAsia" w:ascii="宋体" w:hAnsi="宋体" w:eastAsia="宋体" w:cs="宋体"/>
          <w:spacing w:val="8"/>
          <w:sz w:val="24"/>
          <w:szCs w:val="24"/>
        </w:rPr>
        <w:t>元</w:t>
      </w:r>
      <w:r>
        <w:rPr>
          <w:rFonts w:hint="eastAsia" w:ascii="宋体" w:hAnsi="宋体" w:eastAsia="宋体" w:cs="宋体"/>
          <w:spacing w:val="8"/>
          <w:sz w:val="24"/>
          <w:szCs w:val="24"/>
          <w:lang w:eastAsia="zh-CN"/>
        </w:rPr>
        <w:t>。</w:t>
      </w:r>
    </w:p>
    <w:p>
      <w:pPr>
        <w:rPr>
          <w:rFonts w:ascii="Arial"/>
          <w:sz w:val="21"/>
        </w:rPr>
      </w:pPr>
      <w:r>
        <w:rPr>
          <w:rFonts w:ascii="Arial"/>
          <w:sz w:val="21"/>
        </w:rPr>
        <w:br w:type="page"/>
      </w:r>
    </w:p>
    <w:p>
      <w:pPr>
        <w:pStyle w:val="2"/>
        <w:bidi w:val="0"/>
        <w:outlineLvl w:val="1"/>
        <w:rPr>
          <w:rFonts w:ascii="Arial"/>
          <w:sz w:val="21"/>
        </w:rPr>
      </w:pPr>
      <w:bookmarkStart w:id="3" w:name="_Toc22539"/>
      <w:r>
        <w:rPr>
          <w:rFonts w:hint="eastAsia" w:ascii="宋体" w:hAnsi="宋体" w:eastAsia="宋体" w:cs="宋体"/>
          <w:b/>
          <w:lang w:val="en-US" w:eastAsia="zh-CN"/>
        </w:rPr>
        <w:t>二</w:t>
      </w:r>
      <w:r>
        <w:rPr>
          <w:rFonts w:hint="eastAsia" w:ascii="宋体" w:hAnsi="宋体" w:eastAsia="宋体" w:cs="宋体"/>
          <w:b/>
          <w:lang w:eastAsia="zh-CN"/>
        </w:rPr>
        <w:t>、</w:t>
      </w:r>
      <w:r>
        <w:rPr>
          <w:rFonts w:hint="eastAsia" w:ascii="宋体" w:hAnsi="宋体" w:eastAsia="宋体" w:cs="宋体"/>
          <w:b/>
        </w:rPr>
        <w:t>施工合同</w:t>
      </w:r>
      <w:bookmarkEnd w:id="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b/>
          <w:bCs/>
          <w:spacing w:val="14"/>
          <w:sz w:val="24"/>
          <w:szCs w:val="24"/>
        </w:rPr>
      </w:pPr>
      <w:bookmarkStart w:id="4" w:name="_Toc11388"/>
      <w:bookmarkStart w:id="5" w:name="_Toc23612"/>
      <w:r>
        <w:rPr>
          <w:rFonts w:hint="eastAsia" w:ascii="宋体" w:hAnsi="宋体" w:eastAsia="宋体" w:cs="宋体"/>
          <w:b/>
          <w:bCs/>
          <w:spacing w:val="14"/>
          <w:sz w:val="24"/>
          <w:szCs w:val="24"/>
          <w:lang w:eastAsia="zh-CN"/>
        </w:rPr>
        <w:t>第一部分</w:t>
      </w:r>
      <w:r>
        <w:rPr>
          <w:rFonts w:hint="eastAsia" w:ascii="宋体" w:hAnsi="宋体" w:eastAsia="宋体" w:cs="宋体"/>
          <w:b/>
          <w:bCs/>
          <w:spacing w:val="14"/>
          <w:sz w:val="24"/>
          <w:szCs w:val="24"/>
          <w:lang w:val="en-US" w:eastAsia="zh-CN"/>
        </w:rPr>
        <w:t xml:space="preserve">  </w:t>
      </w:r>
      <w:r>
        <w:rPr>
          <w:rFonts w:hint="eastAsia" w:ascii="宋体" w:hAnsi="宋体" w:eastAsia="宋体" w:cs="宋体"/>
          <w:b/>
          <w:bCs/>
          <w:spacing w:val="14"/>
          <w:sz w:val="24"/>
          <w:szCs w:val="24"/>
        </w:rPr>
        <w:t>合同协议书</w:t>
      </w:r>
      <w:bookmarkEnd w:id="4"/>
      <w:bookmarkEnd w:id="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发包人（全称）：</w:t>
      </w:r>
      <w:r>
        <w:rPr>
          <w:rFonts w:hint="eastAsia" w:ascii="宋体" w:hAnsi="宋体" w:eastAsia="宋体" w:cs="宋体"/>
          <w:spacing w:val="14"/>
          <w:sz w:val="24"/>
          <w:szCs w:val="24"/>
          <w:lang w:val="en-US" w:eastAsia="zh-CN"/>
        </w:rPr>
        <w:t>004</w:t>
      </w:r>
      <w:r>
        <w:rPr>
          <w:rFonts w:hint="eastAsia" w:ascii="宋体" w:hAnsi="宋体" w:eastAsia="宋体" w:cs="宋体"/>
          <w:spacing w:val="14"/>
          <w:sz w:val="24"/>
          <w:szCs w:val="24"/>
        </w:rPr>
        <w:t>宏大交通高速公路集团有限公司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承包人（全称）：</w:t>
      </w:r>
      <w:r>
        <w:rPr>
          <w:rFonts w:hint="eastAsia" w:ascii="宋体" w:hAnsi="宋体" w:eastAsia="宋体" w:cs="宋体"/>
          <w:spacing w:val="14"/>
          <w:sz w:val="24"/>
          <w:szCs w:val="24"/>
          <w:lang w:val="en-US" w:eastAsia="zh-CN"/>
        </w:rPr>
        <w:t>004</w:t>
      </w:r>
      <w:r>
        <w:rPr>
          <w:rFonts w:hint="eastAsia" w:ascii="宋体" w:hAnsi="宋体" w:eastAsia="宋体" w:cs="宋体"/>
          <w:spacing w:val="14"/>
          <w:sz w:val="24"/>
          <w:szCs w:val="24"/>
        </w:rPr>
        <w:t>源达道路建设有限公司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根据《中华人民共和国民法典》及有关法律规定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遵循平等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公平和诚实信用的原则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双方就天心高速公路九标段</w:t>
      </w:r>
      <w:r>
        <w:rPr>
          <w:rFonts w:hint="eastAsia" w:ascii="宋体" w:hAnsi="宋体" w:eastAsia="宋体" w:cs="宋体"/>
          <w:spacing w:val="14"/>
          <w:sz w:val="24"/>
          <w:szCs w:val="24"/>
          <w:lang w:eastAsia="zh-CN"/>
        </w:rPr>
        <w:t>施工</w:t>
      </w:r>
      <w:r>
        <w:rPr>
          <w:rFonts w:hint="eastAsia" w:ascii="宋体" w:hAnsi="宋体" w:eastAsia="宋体" w:cs="宋体"/>
          <w:spacing w:val="14"/>
          <w:sz w:val="24"/>
          <w:szCs w:val="24"/>
        </w:rPr>
        <w:t>及有关事项协商一致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共同达成如下协议：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6" w:name="_Toc19008"/>
      <w:bookmarkStart w:id="7" w:name="_Toc5263"/>
      <w:r>
        <w:rPr>
          <w:rFonts w:hint="eastAsia" w:ascii="宋体" w:hAnsi="宋体" w:eastAsia="宋体" w:cs="宋体"/>
          <w:spacing w:val="14"/>
          <w:sz w:val="24"/>
          <w:szCs w:val="24"/>
        </w:rPr>
        <w:t>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工程概况</w:t>
      </w:r>
      <w:bookmarkEnd w:id="6"/>
      <w:bookmarkEnd w:id="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 xml:space="preserve">1 </w:t>
      </w:r>
      <w:r>
        <w:rPr>
          <w:rFonts w:hint="eastAsia" w:ascii="宋体" w:hAnsi="宋体" w:eastAsia="宋体" w:cs="宋体"/>
          <w:spacing w:val="14"/>
          <w:sz w:val="24"/>
          <w:szCs w:val="24"/>
          <w:lang w:val="en-US" w:eastAsia="zh-CN"/>
        </w:rPr>
        <w:t>合同</w:t>
      </w:r>
      <w:r>
        <w:rPr>
          <w:rFonts w:hint="eastAsia" w:ascii="宋体" w:hAnsi="宋体" w:eastAsia="宋体" w:cs="宋体"/>
          <w:spacing w:val="14"/>
          <w:sz w:val="24"/>
          <w:szCs w:val="24"/>
        </w:rPr>
        <w:t>名称：</w:t>
      </w:r>
      <w:r>
        <w:rPr>
          <w:rFonts w:hint="eastAsia" w:ascii="宋体" w:hAnsi="宋体" w:eastAsia="宋体" w:cs="宋体"/>
          <w:spacing w:val="14"/>
          <w:sz w:val="24"/>
          <w:szCs w:val="24"/>
          <w:lang w:val="en-US" w:eastAsia="zh-CN"/>
        </w:rPr>
        <w:t>004</w:t>
      </w:r>
      <w:r>
        <w:rPr>
          <w:rFonts w:hint="eastAsia" w:ascii="宋体" w:hAnsi="宋体" w:eastAsia="宋体" w:cs="宋体"/>
          <w:spacing w:val="14"/>
          <w:sz w:val="24"/>
          <w:szCs w:val="24"/>
        </w:rPr>
        <w:t>天心高速公路九标段</w:t>
      </w:r>
      <w:r>
        <w:rPr>
          <w:rFonts w:hint="eastAsia" w:ascii="宋体" w:hAnsi="宋体" w:eastAsia="宋体" w:cs="宋体"/>
          <w:spacing w:val="14"/>
          <w:sz w:val="24"/>
          <w:szCs w:val="24"/>
          <w:lang w:val="en-US" w:eastAsia="zh-CN"/>
        </w:rPr>
        <w:t>施工合同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 合同编号：</w:t>
      </w:r>
      <w:r>
        <w:rPr>
          <w:rFonts w:hint="eastAsia" w:ascii="宋体" w:hAnsi="宋体" w:eastAsia="宋体" w:cs="宋体"/>
          <w:spacing w:val="14"/>
          <w:sz w:val="24"/>
          <w:szCs w:val="24"/>
          <w:lang w:val="en-US" w:eastAsia="zh-CN"/>
        </w:rPr>
        <w:t>004</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 工程地点：</w:t>
      </w:r>
      <w:r>
        <w:rPr>
          <w:rFonts w:hint="eastAsia" w:ascii="宋体" w:hAnsi="宋体" w:eastAsia="宋体" w:cs="宋体"/>
          <w:spacing w:val="8"/>
          <w:sz w:val="24"/>
          <w:szCs w:val="24"/>
          <w:lang w:eastAsia="zh-CN"/>
        </w:rPr>
        <w:t>辽宁省丹东市</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 资金来源：</w:t>
      </w:r>
      <w:r>
        <w:rPr>
          <w:rFonts w:hint="eastAsia" w:ascii="宋体" w:hAnsi="宋体" w:eastAsia="宋体" w:cs="宋体"/>
          <w:spacing w:val="14"/>
          <w:sz w:val="24"/>
          <w:szCs w:val="24"/>
          <w:lang w:val="en-US" w:eastAsia="zh-CN"/>
        </w:rPr>
        <w:t>政府</w:t>
      </w:r>
      <w:r>
        <w:rPr>
          <w:rFonts w:hint="eastAsia" w:ascii="宋体" w:hAnsi="宋体" w:eastAsia="宋体" w:cs="宋体"/>
          <w:spacing w:val="14"/>
          <w:sz w:val="24"/>
          <w:szCs w:val="24"/>
        </w:rPr>
        <w:t>投资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 工程内容：公路工程施工总承包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 工程承包范围：工程承包范围详见《技术标准和要求》部分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8" w:name="_Toc18077"/>
      <w:bookmarkStart w:id="9" w:name="_Toc29662"/>
      <w:r>
        <w:rPr>
          <w:rFonts w:hint="eastAsia" w:ascii="宋体" w:hAnsi="宋体" w:eastAsia="宋体" w:cs="宋体"/>
          <w:spacing w:val="14"/>
          <w:sz w:val="24"/>
          <w:szCs w:val="24"/>
        </w:rPr>
        <w:t>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合同工期</w:t>
      </w:r>
      <w:bookmarkEnd w:id="8"/>
      <w:bookmarkEnd w:id="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计划开工日期：20</w:t>
      </w:r>
      <w:r>
        <w:rPr>
          <w:rFonts w:hint="eastAsia" w:ascii="宋体" w:hAnsi="宋体" w:eastAsia="宋体" w:cs="宋体"/>
          <w:spacing w:val="14"/>
          <w:sz w:val="24"/>
          <w:szCs w:val="24"/>
          <w:lang w:val="en-US" w:eastAsia="zh-CN"/>
        </w:rPr>
        <w:t>19</w:t>
      </w:r>
      <w:r>
        <w:rPr>
          <w:rFonts w:hint="eastAsia" w:ascii="宋体" w:hAnsi="宋体" w:eastAsia="宋体" w:cs="宋体"/>
          <w:spacing w:val="14"/>
          <w:sz w:val="24"/>
          <w:szCs w:val="24"/>
        </w:rPr>
        <w:t>年1月1日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计划竣工日期：2021年</w:t>
      </w:r>
      <w:r>
        <w:rPr>
          <w:rFonts w:hint="eastAsia" w:ascii="宋体" w:hAnsi="宋体" w:eastAsia="宋体" w:cs="宋体"/>
          <w:spacing w:val="14"/>
          <w:sz w:val="24"/>
          <w:szCs w:val="24"/>
          <w:lang w:val="en-US" w:eastAsia="zh-CN"/>
        </w:rPr>
        <w:t>1</w:t>
      </w:r>
      <w:r>
        <w:rPr>
          <w:rFonts w:hint="eastAsia" w:ascii="宋体" w:hAnsi="宋体" w:eastAsia="宋体" w:cs="宋体"/>
          <w:spacing w:val="14"/>
          <w:sz w:val="24"/>
          <w:szCs w:val="24"/>
        </w:rPr>
        <w:t>月</w:t>
      </w:r>
      <w:r>
        <w:rPr>
          <w:rFonts w:hint="eastAsia" w:ascii="宋体" w:hAnsi="宋体" w:eastAsia="宋体" w:cs="宋体"/>
          <w:spacing w:val="14"/>
          <w:sz w:val="24"/>
          <w:szCs w:val="24"/>
          <w:lang w:val="en-US" w:eastAsia="zh-CN"/>
        </w:rPr>
        <w:t>1</w:t>
      </w:r>
      <w:r>
        <w:rPr>
          <w:rFonts w:hint="eastAsia" w:ascii="宋体" w:hAnsi="宋体" w:eastAsia="宋体" w:cs="宋体"/>
          <w:spacing w:val="14"/>
          <w:sz w:val="24"/>
          <w:szCs w:val="24"/>
        </w:rPr>
        <w:t>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总日历天数：</w:t>
      </w:r>
      <w:r>
        <w:rPr>
          <w:rFonts w:hint="eastAsia" w:ascii="宋体" w:hAnsi="宋体" w:eastAsia="宋体" w:cs="宋体"/>
          <w:spacing w:val="14"/>
          <w:sz w:val="24"/>
          <w:szCs w:val="24"/>
          <w:lang w:val="en-US" w:eastAsia="zh-CN"/>
        </w:rPr>
        <w:t>731</w:t>
      </w:r>
      <w:r>
        <w:rPr>
          <w:rFonts w:hint="eastAsia" w:ascii="宋体" w:hAnsi="宋体" w:eastAsia="宋体" w:cs="宋体"/>
          <w:spacing w:val="14"/>
          <w:sz w:val="24"/>
          <w:szCs w:val="24"/>
        </w:rPr>
        <w:t>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0" w:name="_Toc14150"/>
      <w:bookmarkStart w:id="11" w:name="_Toc7100"/>
      <w:r>
        <w:rPr>
          <w:rFonts w:hint="eastAsia" w:ascii="宋体" w:hAnsi="宋体" w:eastAsia="宋体" w:cs="宋体"/>
          <w:spacing w:val="14"/>
          <w:sz w:val="24"/>
          <w:szCs w:val="24"/>
        </w:rPr>
        <w:t>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质量标准</w:t>
      </w:r>
      <w:bookmarkEnd w:id="10"/>
      <w:bookmarkEnd w:id="1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工程质量符合国家和工程所在地地方现行验收合格标准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2" w:name="_Toc9579"/>
      <w:bookmarkStart w:id="13" w:name="_Toc4418"/>
      <w:r>
        <w:rPr>
          <w:rFonts w:hint="eastAsia" w:ascii="宋体" w:hAnsi="宋体" w:eastAsia="宋体" w:cs="宋体"/>
          <w:spacing w:val="14"/>
          <w:sz w:val="24"/>
          <w:szCs w:val="24"/>
        </w:rPr>
        <w:t>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签约合同价与合同价格形式</w:t>
      </w:r>
      <w:bookmarkEnd w:id="12"/>
      <w:bookmarkEnd w:id="1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4" w:name="_Toc30246"/>
      <w:bookmarkStart w:id="15" w:name="_Toc32294"/>
      <w:r>
        <w:rPr>
          <w:rFonts w:hint="eastAsia" w:ascii="宋体" w:hAnsi="宋体" w:eastAsia="宋体" w:cs="宋体"/>
          <w:spacing w:val="14"/>
          <w:sz w:val="24"/>
          <w:szCs w:val="24"/>
        </w:rPr>
        <w:t>1 签约合同暂定价为（人民币）：</w:t>
      </w:r>
      <w:bookmarkEnd w:id="14"/>
      <w:bookmarkEnd w:id="1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（大写）</w:t>
      </w:r>
      <w:r>
        <w:rPr>
          <w:rFonts w:hint="eastAsia" w:ascii="宋体" w:hAnsi="宋体" w:eastAsia="宋体" w:cs="宋体"/>
          <w:spacing w:val="14"/>
          <w:sz w:val="24"/>
          <w:szCs w:val="24"/>
          <w:u w:val="single"/>
        </w:rPr>
        <w:t>贰拾伍亿玖仟柒佰玖拾万零肆仟贰佰柒拾陆元捌角陆分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（小写）￥</w:t>
      </w:r>
      <w:r>
        <w:rPr>
          <w:rFonts w:hint="eastAsia" w:ascii="宋体" w:hAnsi="宋体" w:eastAsia="宋体" w:cs="宋体"/>
          <w:spacing w:val="14"/>
          <w:sz w:val="24"/>
          <w:szCs w:val="24"/>
          <w:u w:val="single"/>
        </w:rPr>
        <w:t>2597904276.86</w:t>
      </w:r>
      <w:r>
        <w:rPr>
          <w:rFonts w:hint="eastAsia" w:ascii="宋体" w:hAnsi="宋体" w:eastAsia="宋体" w:cs="宋体"/>
          <w:spacing w:val="14"/>
          <w:sz w:val="24"/>
          <w:szCs w:val="24"/>
        </w:rPr>
        <w:t>元</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其中：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（1）增值税为：￥</w:t>
      </w:r>
      <w:r>
        <w:rPr>
          <w:rFonts w:hint="eastAsia" w:ascii="宋体" w:hAnsi="宋体" w:eastAsia="宋体" w:cs="宋体"/>
          <w:spacing w:val="14"/>
          <w:sz w:val="24"/>
          <w:szCs w:val="24"/>
          <w:u w:val="single"/>
        </w:rPr>
        <w:t>233811384.9</w:t>
      </w:r>
      <w:r>
        <w:rPr>
          <w:rFonts w:hint="eastAsia" w:ascii="宋体" w:hAnsi="宋体" w:eastAsia="宋体" w:cs="宋体"/>
          <w:spacing w:val="14"/>
          <w:sz w:val="24"/>
          <w:szCs w:val="24"/>
        </w:rPr>
        <w:t>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增值税税率：</w:t>
      </w:r>
      <w:r>
        <w:rPr>
          <w:rFonts w:hint="eastAsia" w:ascii="宋体" w:hAnsi="宋体" w:eastAsia="宋体" w:cs="宋体"/>
          <w:spacing w:val="14"/>
          <w:sz w:val="24"/>
          <w:szCs w:val="24"/>
          <w:u w:val="single"/>
        </w:rPr>
        <w:t>9%</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（2）安全生产费：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人民币（大写）：</w:t>
      </w:r>
      <w:r>
        <w:rPr>
          <w:rFonts w:hint="eastAsia" w:ascii="宋体" w:hAnsi="宋体" w:eastAsia="宋体" w:cs="宋体"/>
          <w:spacing w:val="14"/>
          <w:sz w:val="24"/>
          <w:szCs w:val="24"/>
          <w:u w:val="single"/>
        </w:rPr>
        <w:t>叁仟贰佰捌拾肆万捌仟柒佰肆拾元</w:t>
      </w:r>
      <w:r>
        <w:rPr>
          <w:rFonts w:hint="eastAsia" w:ascii="宋体" w:hAnsi="宋体" w:eastAsia="宋体" w:cs="宋体"/>
          <w:spacing w:val="14"/>
          <w:sz w:val="24"/>
          <w:szCs w:val="24"/>
          <w:u w:val="single"/>
          <w:lang w:eastAsia="zh-CN"/>
        </w:rPr>
        <w:t>整</w:t>
      </w:r>
      <w:r>
        <w:rPr>
          <w:rFonts w:hint="eastAsia" w:ascii="宋体" w:hAnsi="宋体" w:eastAsia="宋体" w:cs="宋体"/>
          <w:spacing w:val="14"/>
          <w:sz w:val="24"/>
          <w:szCs w:val="24"/>
        </w:rPr>
        <w:t>（￥</w:t>
      </w:r>
      <w:r>
        <w:rPr>
          <w:rFonts w:hint="eastAsia" w:ascii="宋体" w:hAnsi="宋体" w:eastAsia="宋体" w:cs="宋体"/>
          <w:spacing w:val="14"/>
          <w:sz w:val="24"/>
          <w:szCs w:val="24"/>
          <w:u w:val="single"/>
        </w:rPr>
        <w:t>32848740.00</w:t>
      </w:r>
      <w:r>
        <w:rPr>
          <w:rFonts w:hint="eastAsia" w:ascii="宋体" w:hAnsi="宋体" w:eastAsia="宋体" w:cs="宋体"/>
          <w:spacing w:val="14"/>
          <w:sz w:val="24"/>
          <w:szCs w:val="24"/>
        </w:rPr>
        <w:t>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（3）材料和工程设备暂估价：</w:t>
      </w:r>
      <w:r>
        <w:rPr>
          <w:rFonts w:hint="eastAsia" w:ascii="宋体" w:hAnsi="宋体" w:eastAsia="宋体" w:cs="宋体"/>
          <w:spacing w:val="14"/>
          <w:sz w:val="24"/>
          <w:szCs w:val="24"/>
          <w:u w:val="single"/>
        </w:rPr>
        <w:t>无</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（4）专业工程暂估价金额：</w:t>
      </w:r>
      <w:r>
        <w:rPr>
          <w:rFonts w:hint="eastAsia" w:ascii="宋体" w:hAnsi="宋体" w:eastAsia="宋体" w:cs="宋体"/>
          <w:spacing w:val="14"/>
          <w:sz w:val="24"/>
          <w:szCs w:val="24"/>
          <w:u w:val="single"/>
          <w:lang w:val="en-US" w:eastAsia="zh-CN"/>
        </w:rPr>
        <w:t>壹佰玖拾肆万肆仟元整</w:t>
      </w:r>
      <w:r>
        <w:rPr>
          <w:rFonts w:hint="eastAsia" w:ascii="宋体" w:hAnsi="宋体" w:eastAsia="宋体" w:cs="宋体"/>
          <w:spacing w:val="14"/>
          <w:sz w:val="24"/>
          <w:szCs w:val="24"/>
        </w:rPr>
        <w:t>（￥</w:t>
      </w:r>
      <w:r>
        <w:rPr>
          <w:rFonts w:hint="eastAsia" w:ascii="宋体" w:hAnsi="宋体" w:eastAsia="宋体" w:cs="宋体"/>
          <w:spacing w:val="14"/>
          <w:sz w:val="24"/>
          <w:szCs w:val="24"/>
          <w:u w:val="single"/>
        </w:rPr>
        <w:t>194400</w:t>
      </w:r>
      <w:r>
        <w:rPr>
          <w:rFonts w:hint="eastAsia" w:ascii="宋体" w:hAnsi="宋体" w:eastAsia="宋体" w:cs="宋体"/>
          <w:spacing w:val="14"/>
          <w:sz w:val="24"/>
          <w:szCs w:val="24"/>
          <w:u w:val="single"/>
          <w:lang w:val="en-US" w:eastAsia="zh-CN"/>
        </w:rPr>
        <w:t>0.00</w:t>
      </w:r>
      <w:r>
        <w:rPr>
          <w:rFonts w:hint="eastAsia" w:ascii="宋体" w:hAnsi="宋体" w:eastAsia="宋体" w:cs="宋体"/>
          <w:spacing w:val="14"/>
          <w:sz w:val="24"/>
          <w:szCs w:val="24"/>
        </w:rPr>
        <w:t>元）</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（5）暂列金额：</w:t>
      </w:r>
      <w:r>
        <w:rPr>
          <w:rFonts w:hint="eastAsia" w:ascii="宋体" w:hAnsi="宋体" w:eastAsia="宋体" w:cs="宋体"/>
          <w:spacing w:val="14"/>
          <w:sz w:val="24"/>
          <w:szCs w:val="24"/>
          <w:u w:val="single"/>
        </w:rPr>
        <w:t>贰亿叁仟陆佰壹拾柒万叁仟壹佰壹拾陆元柒分</w:t>
      </w:r>
      <w:r>
        <w:rPr>
          <w:rFonts w:hint="eastAsia" w:ascii="宋体" w:hAnsi="宋体" w:eastAsia="宋体" w:cs="宋体"/>
          <w:spacing w:val="14"/>
          <w:sz w:val="24"/>
          <w:szCs w:val="24"/>
        </w:rPr>
        <w:t>（￥</w:t>
      </w:r>
      <w:r>
        <w:rPr>
          <w:rFonts w:hint="eastAsia" w:ascii="宋体" w:hAnsi="宋体" w:eastAsia="宋体" w:cs="宋体"/>
          <w:spacing w:val="14"/>
          <w:sz w:val="24"/>
          <w:szCs w:val="24"/>
          <w:u w:val="single"/>
        </w:rPr>
        <w:t>236173116.07</w:t>
      </w:r>
      <w:r>
        <w:rPr>
          <w:rFonts w:hint="eastAsia" w:ascii="宋体" w:hAnsi="宋体" w:eastAsia="宋体" w:cs="宋体"/>
          <w:spacing w:val="14"/>
          <w:sz w:val="24"/>
          <w:szCs w:val="24"/>
        </w:rPr>
        <w:t>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 合同价格形式：全费用综合单价合同（其中安全文明施工费按相关文件执行）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详见经承包人填写价格并为发包人所接受的工程量清单（即已标价工程量清单）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 其它约定：本工程合同工期在一年以上两年以内的工程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应在办理工程项目安全受监手续时支付安全文明施工费中基本费的50%</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剩余50%基本费应在工程开工满1年前支付到位</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6" w:name="_Toc20646"/>
      <w:bookmarkStart w:id="17" w:name="_Toc24526"/>
      <w:r>
        <w:rPr>
          <w:rFonts w:hint="eastAsia" w:ascii="宋体" w:hAnsi="宋体" w:eastAsia="宋体" w:cs="宋体"/>
          <w:spacing w:val="14"/>
          <w:sz w:val="24"/>
          <w:szCs w:val="24"/>
        </w:rPr>
        <w:t>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w:t>
      </w:r>
      <w:bookmarkEnd w:id="16"/>
      <w:bookmarkEnd w:id="1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承包人项目经理：源达道路建设有限公司XXX</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8" w:name="_Toc12434"/>
      <w:bookmarkStart w:id="19" w:name="_Toc24506"/>
      <w:r>
        <w:rPr>
          <w:rFonts w:hint="eastAsia" w:ascii="宋体" w:hAnsi="宋体" w:eastAsia="宋体" w:cs="宋体"/>
          <w:spacing w:val="14"/>
          <w:sz w:val="24"/>
          <w:szCs w:val="24"/>
        </w:rPr>
        <w:t>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合同文件构成</w:t>
      </w:r>
      <w:bookmarkEnd w:id="18"/>
      <w:bookmarkEnd w:id="1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本协议书与下列文件一起构成合同文件：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1．中标通知书（如果有）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2．投标函及其附录（如果有）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3．专用合同条款及其附件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4．通用合同条款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5．技术标准和要求</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6．图纸</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7．已标价工程量清单或预算书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8．其他合同文件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在合同订立及履行过程中形成的与合同有关的文件均构成合同文件组成部分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上述各项合同文件包括合同当事人就该项合同文件所作出的补充和修改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属于同一类内容的文件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以最新签署的为准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0" w:name="_Toc25017"/>
      <w:bookmarkStart w:id="21" w:name="_Toc30716"/>
      <w:r>
        <w:rPr>
          <w:rFonts w:hint="eastAsia" w:ascii="宋体" w:hAnsi="宋体" w:eastAsia="宋体" w:cs="宋体"/>
          <w:spacing w:val="14"/>
          <w:sz w:val="24"/>
          <w:szCs w:val="24"/>
        </w:rPr>
        <w:t>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承诺</w:t>
      </w:r>
      <w:bookmarkEnd w:id="20"/>
      <w:bookmarkEnd w:id="2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1．发包人承诺按照法律规定履行项目审批手续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筹集工程建设资金并按照合同约定的期限和方式支付合同价款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2．承包人承诺按照法律规定及合同约定组织完成工程施工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确保工程质量和安全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不进行转包及违法分包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并在缺陷责任期及保修期内承担相应的工程维修责任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3．发包人和承包人通过招投标形式签订合同的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双方理解并承诺不再就同一工程另行签订与合同实质性内容相背离的协议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2" w:name="_Toc15129"/>
      <w:bookmarkStart w:id="23" w:name="_Toc5616"/>
      <w:r>
        <w:rPr>
          <w:rFonts w:hint="eastAsia" w:ascii="宋体" w:hAnsi="宋体" w:eastAsia="宋体" w:cs="宋体"/>
          <w:spacing w:val="14"/>
          <w:sz w:val="24"/>
          <w:szCs w:val="24"/>
        </w:rPr>
        <w:t>八</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词语含义</w:t>
      </w:r>
      <w:bookmarkEnd w:id="22"/>
      <w:bookmarkEnd w:id="2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本协议书中词语含义与第二部分通用合同条款中赋予的含义相同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4" w:name="_Toc4680"/>
      <w:bookmarkStart w:id="25" w:name="_Toc13047"/>
      <w:r>
        <w:rPr>
          <w:rFonts w:hint="eastAsia" w:ascii="宋体" w:hAnsi="宋体" w:eastAsia="宋体" w:cs="宋体"/>
          <w:spacing w:val="14"/>
          <w:sz w:val="24"/>
          <w:szCs w:val="24"/>
        </w:rPr>
        <w:t>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签订时间</w:t>
      </w:r>
      <w:bookmarkEnd w:id="24"/>
      <w:bookmarkEnd w:id="2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本合同于20</w:t>
      </w:r>
      <w:r>
        <w:rPr>
          <w:rFonts w:hint="eastAsia" w:ascii="宋体" w:hAnsi="宋体" w:eastAsia="宋体" w:cs="宋体"/>
          <w:spacing w:val="14"/>
          <w:sz w:val="24"/>
          <w:szCs w:val="24"/>
          <w:lang w:val="en-US" w:eastAsia="zh-CN"/>
        </w:rPr>
        <w:t>17</w:t>
      </w:r>
      <w:r>
        <w:rPr>
          <w:rFonts w:hint="eastAsia" w:ascii="宋体" w:hAnsi="宋体" w:eastAsia="宋体" w:cs="宋体"/>
          <w:spacing w:val="14"/>
          <w:sz w:val="24"/>
          <w:szCs w:val="24"/>
        </w:rPr>
        <w:t>年12月28日签订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6" w:name="_Toc15570"/>
      <w:bookmarkStart w:id="27" w:name="_Toc7831"/>
      <w:r>
        <w:rPr>
          <w:rFonts w:hint="eastAsia" w:ascii="宋体" w:hAnsi="宋体" w:eastAsia="宋体" w:cs="宋体"/>
          <w:spacing w:val="14"/>
          <w:sz w:val="24"/>
          <w:szCs w:val="24"/>
        </w:rPr>
        <w:t>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签订地点</w:t>
      </w:r>
      <w:bookmarkEnd w:id="26"/>
      <w:bookmarkEnd w:id="2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天心高速公路九标段项目部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8" w:name="_Toc10690"/>
      <w:bookmarkStart w:id="29" w:name="_Toc4770"/>
      <w:r>
        <w:rPr>
          <w:rFonts w:hint="eastAsia" w:ascii="宋体" w:hAnsi="宋体" w:eastAsia="宋体" w:cs="宋体"/>
          <w:spacing w:val="14"/>
          <w:sz w:val="24"/>
          <w:szCs w:val="24"/>
        </w:rPr>
        <w:t>十一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补充协议</w:t>
      </w:r>
      <w:bookmarkEnd w:id="28"/>
      <w:bookmarkEnd w:id="2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合同未尽事宜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合同当事人另行签订补充协议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补充协议是合同的组成部分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0" w:name="_Toc13439"/>
      <w:bookmarkStart w:id="31" w:name="_Toc1773"/>
      <w:r>
        <w:rPr>
          <w:rFonts w:hint="eastAsia" w:ascii="宋体" w:hAnsi="宋体" w:eastAsia="宋体" w:cs="宋体"/>
          <w:spacing w:val="14"/>
          <w:sz w:val="24"/>
          <w:szCs w:val="24"/>
        </w:rPr>
        <w:t>十二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合同生效</w:t>
      </w:r>
      <w:bookmarkEnd w:id="30"/>
      <w:bookmarkEnd w:id="3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本合同自发包人和承包人的法定代表人或其委托代理人签字并加盖单位公章后生效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2" w:name="_Toc1691"/>
      <w:bookmarkStart w:id="33" w:name="_Toc11437"/>
      <w:r>
        <w:rPr>
          <w:rFonts w:hint="eastAsia" w:ascii="宋体" w:hAnsi="宋体" w:eastAsia="宋体" w:cs="宋体"/>
          <w:spacing w:val="14"/>
          <w:sz w:val="24"/>
          <w:szCs w:val="24"/>
        </w:rPr>
        <w:t>十三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合同份数</w:t>
      </w:r>
      <w:bookmarkEnd w:id="32"/>
      <w:bookmarkEnd w:id="3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本合同正本5份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发包人执4份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承包人执1份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副本11份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发包人执4份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承包人执3份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监理人执3份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合同备案机关执1份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  (公章)             承包人：  (公章)</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法定代表人或其委托代理人：  法定代表人或其委托代理人：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（签字）                    （签字）</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组织机构代码：            组织机构代码：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地  址：                  地  址：</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邮政编码：                邮政编码：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法定代表人：              法定代表人：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委托代理人：              委托代理人：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电  话：                  电  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传  真：                  传  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电子信箱：                电子信箱：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开户银行：                开户银行：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账  号：                  账  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0"/>
        <w:rPr>
          <w:rFonts w:hint="eastAsia" w:ascii="宋体" w:hAnsi="宋体" w:eastAsia="宋体" w:cs="宋体"/>
          <w:spacing w:val="14"/>
          <w:sz w:val="24"/>
          <w:szCs w:val="24"/>
        </w:rPr>
      </w:pPr>
      <w:bookmarkStart w:id="34" w:name="_Toc5060"/>
      <w:bookmarkStart w:id="35" w:name="_Toc18548"/>
      <w:r>
        <w:rPr>
          <w:rFonts w:hint="eastAsia" w:ascii="宋体" w:hAnsi="宋体" w:eastAsia="宋体" w:cs="宋体"/>
          <w:b/>
          <w:bCs/>
          <w:spacing w:val="14"/>
          <w:sz w:val="24"/>
          <w:szCs w:val="24"/>
        </w:rPr>
        <w:t>第二部分 通用合同条款</w:t>
      </w:r>
      <w:bookmarkEnd w:id="34"/>
      <w:bookmarkEnd w:id="3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本工程通用合同条款按照《建设工程施工合同》（示范文本）（GF-2017-0201）的通用合同条款执行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6" w:name="_Toc29903"/>
      <w:bookmarkStart w:id="37" w:name="_Toc27887"/>
      <w:r>
        <w:rPr>
          <w:rFonts w:hint="eastAsia" w:ascii="宋体" w:hAnsi="宋体" w:eastAsia="宋体" w:cs="宋体"/>
          <w:spacing w:val="14"/>
          <w:sz w:val="24"/>
          <w:szCs w:val="24"/>
        </w:rPr>
        <w:t>1. 一般约定</w:t>
      </w:r>
      <w:bookmarkEnd w:id="36"/>
      <w:bookmarkEnd w:id="3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8" w:name="_Toc31581"/>
      <w:bookmarkStart w:id="39" w:name="_Toc16169"/>
      <w:r>
        <w:rPr>
          <w:rFonts w:hint="eastAsia" w:ascii="宋体" w:hAnsi="宋体" w:eastAsia="宋体" w:cs="宋体"/>
          <w:spacing w:val="14"/>
          <w:sz w:val="24"/>
          <w:szCs w:val="24"/>
        </w:rPr>
        <w:t>1.1词语定义与解释</w:t>
      </w:r>
      <w:bookmarkEnd w:id="38"/>
      <w:bookmarkEnd w:id="3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合同协议书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通用合同条款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专用合同条款中的下列词语具有本款所赋予的含义：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 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1.1.1.1 合同：是指根据法律规定和合同当事人约定具有约束力的文件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构成合同的文件包括合同协议书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中标通知书（如果有）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投标函及其附录（如果有）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专用合同条款及其附件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通用合同条款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技术标准和要求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图纸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已标价工程量清单或预算书以及其他合同文件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1.1.1.2 合同协议书：是指构成合同的由发包人和承包人共同签署的称为“合同协议书”的书面文件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1.1.1.3 中标通知书：是指构成合同的由发包人通知承包人中标的书面文件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1.1.1.4 投标函：是指构成合同的由承包人填写并签署的用于投标的称为“投标函”的文件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1.1.1.5 投标函附录：是指构成合同的附在投标函后的称为“投标函附录”的文件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1.1.1.6 技术标准和要求：是指构成合同的施工应当遵守的或指导施工的国家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行业或地方的技术标准和要求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以及合同约定的技术标准和要求</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1.1.1.7 图纸：是指构成合同的图纸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包括由发包人按照合同约定提供或经发包人批准的设计文件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鸟瞰图及模型等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以及在合同履行过程中形成的图纸文件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图纸应当按照法律规定审查合格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1.1.1.8 已标价工程量清单：是指构成合同的由承包人按照规定的格式和要求填写并标明价格的工程量清单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包括说明和表格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1.1.1.9 预算书：是指构成合同的由承包人按照发包人规定的格式和要求编制的工程预算文件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1.1.1.10 其他合同文件：是指经合同当事人约定的与工程施工有关的具有合同约束力的文件或书面协议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合同当事人可以在专用合同条款中进行约定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 合同当事人及其他相关方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1.1.2.1 合同当事人：是指发包人和（或）承包人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1.1.2.2 发包人：是指与承包人签订合同协议书的当事人及取得该当事人资格的合法继承人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1.1.2.3 承包人：是指与发包人签订合同协议书的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具有相应工程施工承包资质的当事人及取得该当事人资格的合法继承人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1.1.2.4 监理人：是指在专用合同条款中指明的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受发包人委托按照法律规定进行工程监督管理的法人或其他组织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1.1.2.5 设计人：是指在专用合同条款中指明的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受发包人委托负责工程设计并具备相应工程设计资质的法人或其他组织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1.1.2.6 分包人：是指按照法律规定和合同约定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分包部分工程或工作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并与承包人签订分包合同的具有相应资质的法人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1.1.2.7 发包人代表：是指由发包人任命并派驻施工现场在发包人授权范围内行使发包人权利的人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1.1.2.8 项目经理：是指由承包人任命并派驻施工现场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在承包人授权范围内负责合同履行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且按照法律规定具有相应资格的项目负责人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1.1.2.9 总监理工程师：是指由监理人任命并派驻施工现场进行工程监理的总负责人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1.1.3 工程和设备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1.1.3.1 工程：是指与合同协议书中工程承包范围对应的永久工程和（或）临时工程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1.1.3.2 永久工程：是指按合同约定建造并移交给发包人的工程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包括工程设备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1.1.3.3 临时工程：是指为完成合同约定的永久工程所修建的各类临时性工程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不包括施工设备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1.1.3.4 单位工程：是指在合同协议书中指明的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具备独立施工条件并能形成独立使用功能的永久工程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1.1.3.5 工程设备：是指构成永久工程的机电设备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金属结构设备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仪器及其他类似的设备和装置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1.1.3.6 施工设备：是指为完成合同约定的各项工作所需的设备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器具和其他物品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但不包括工程设备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临时工程和材料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1.1.3.7 施工现场：是指用于工程施工的场所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以及在专用合同条款中指明作为施工场所组成部分的其他场所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包括永久占地和临时占地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1.1.3.8临时设施：是指为完成合同约定的各项工作所服务的临时性生产和生活设施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1.1.3.9 永久占地：是指专用合同条款中指明为实施工程需永久占用的土地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1.1.3.10 临时占地：是指专用合同条款中指明为实施工程需要临时占用的土地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1.1.4 日期和期限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1.1.4.1 开工日期：包括计划开工日期和实际开工日期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计划开工日期是指合同协议书约定的开工日期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实际开工日期是指监理人按照第7.3.2项〔开工通知〕约定发出的符合法律规定的开工通知中载明的开工日期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1.1.4.2 竣工日期：包括计划竣工日期和实际竣工日期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计划竣工日期是指合同协议书约定的竣工日期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实际竣工日期按照第13.2.3项〔竣工日期〕的约定确定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1.1.4.3 工期：是指在合同协议书约定的承包人完成工程所需的期限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包括按照合同约定所作的期限变更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1.1.4.4 缺陷责任期：是指承包人按照合同约定承担缺陷修复义务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且发包人预留质量保证金（已缴纳履约保证金的除外）的期限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自工程实际竣工日期起计算</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1.1.4.5 保修期：是指承包人按照合同约定对工程承担保修责任的期限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从工程竣工验收合格之日起计算</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1.1.4.6 基准日期：招标发包的工程以投标截止日前28天的日期为基准日期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直接发包的工程以合同签订日前28天的日期为基准日期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1.1.4.7 天：除特别指明外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均指日历天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合同中按天计算时间的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开始当天不计入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从次日开始计算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期限最后一天的截止时间为当天24:00时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1.1.5 合同价格和费用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1.1.5.1 签约合同价：是指发包人和承包人在合同协议书中确定的总金额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包括安全文明施工费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暂估价及暂列金额等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1.1.5.2 合同价格：是指发包人用于支付承包人按照合同约定完成承包范围内全部工作的金额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包括合同履行过程中按合同约定发生的价格变化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1.1.5.3 费用：是指为履行合同所发生的或将要发生的所有必需的开支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包括管理费和应分摊的其他费用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但不包括利润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1.1.5.4 暂估价：是指发包人在工程量清单或预算书中提供的用于支付必然发生但暂时不能确定价格的材料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工程设备的单价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专业工程以及服务工作的金额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1.1.5.5 暂列金额：是指发包人在工程量清单或预算书中暂定并包括在合同价格中的一笔款项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用于工程合同签订时尚未确定或者不可预见的所需材料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服务的采购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施工中可能发生的工程变更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合同约定调整因素出现时的合同价格调整以及发生的索赔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现场签证确认等的费用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1.1.5.6 计日工：是指合同履行过程中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承包人完成发包人提出的零星工作或需要采用计日工计价的变更工作时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按合同中约定的单价计价的一种方式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1.1.5.7 质量保证金：是指按照第15.3款〔质量保证金〕约定承包人用于保证其在缺陷责任期内履行缺陷修补义务的担保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1.1.5.8 总价项目：是指在现行国家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行业以及地方的计量规则中无工程量计算规则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在已标价工程量清单或预算书中以总价或以费率形式计算的项目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1.1.6 其他</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1.1.6.1 书面形式：是指合同文件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信函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电报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传真等可以有形地表现所载内容的形式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0" w:name="_Toc18008"/>
      <w:bookmarkStart w:id="41" w:name="_Toc28326"/>
      <w:r>
        <w:rPr>
          <w:rFonts w:hint="eastAsia" w:ascii="宋体" w:hAnsi="宋体" w:eastAsia="宋体" w:cs="宋体"/>
          <w:spacing w:val="14"/>
          <w:sz w:val="24"/>
          <w:szCs w:val="24"/>
        </w:rPr>
        <w:t>1.2语言文字</w:t>
      </w:r>
      <w:bookmarkEnd w:id="40"/>
      <w:bookmarkEnd w:id="4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合同以中国的汉语简体文字编写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解释和说明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合同当事人在专用合同条款中约定使用两种以上语言时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汉语为优先解释和说明合同的语言</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2" w:name="_Toc17022"/>
      <w:bookmarkStart w:id="43" w:name="_Toc12805"/>
      <w:r>
        <w:rPr>
          <w:rFonts w:hint="eastAsia" w:ascii="宋体" w:hAnsi="宋体" w:eastAsia="宋体" w:cs="宋体"/>
          <w:spacing w:val="14"/>
          <w:sz w:val="24"/>
          <w:szCs w:val="24"/>
        </w:rPr>
        <w:t>1.3法律</w:t>
      </w:r>
      <w:bookmarkEnd w:id="42"/>
      <w:bookmarkEnd w:id="4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合同所称法律是指中华人民共和国法律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行政法规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部门规章</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以及工程所在地的地方性法规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自治条例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单行条例和地方政府规章等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合同当事人可以在专用合同条款中约定合同适用的其他规范性文件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4" w:name="_Toc3966"/>
      <w:bookmarkStart w:id="45" w:name="_Toc24967"/>
      <w:r>
        <w:rPr>
          <w:rFonts w:hint="eastAsia" w:ascii="宋体" w:hAnsi="宋体" w:eastAsia="宋体" w:cs="宋体"/>
          <w:spacing w:val="14"/>
          <w:sz w:val="24"/>
          <w:szCs w:val="24"/>
        </w:rPr>
        <w:t>1.4 标准和规范</w:t>
      </w:r>
      <w:bookmarkEnd w:id="44"/>
      <w:bookmarkEnd w:id="4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1.4.1 适用于工程的国家标准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行业标准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工程所在地的地方性标准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以及相应的规范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规程等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合同当事人有特别要求的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1.4.2 发包人要求使用国外标准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规范的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发包人负责提供原文版本和中文译本</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并在专用合同条款中约定提供标准规范的名称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份数和时间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1.4.3 发包人对工程的技术标准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功能要求高于或严于现行国家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行业或地方标准的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应当在专用合同条款中予以明确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应视为承包人在签订合同前已充分预见前述技术标准和功能要求的复杂程度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签约合同价中已包含由此产生的费用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6" w:name="_Toc26889"/>
      <w:bookmarkStart w:id="47" w:name="_Toc2476"/>
      <w:r>
        <w:rPr>
          <w:rFonts w:hint="eastAsia" w:ascii="宋体" w:hAnsi="宋体" w:eastAsia="宋体" w:cs="宋体"/>
          <w:spacing w:val="14"/>
          <w:sz w:val="24"/>
          <w:szCs w:val="24"/>
        </w:rPr>
        <w:t>1.5 合同文件的优先顺序</w:t>
      </w:r>
      <w:bookmarkEnd w:id="46"/>
      <w:bookmarkEnd w:id="4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组成合同的各项文件应互相解释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互为说明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解释合同文件的优先顺序如下：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（1）合同协议书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（2）中标通知书（如果有）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（3）投标函及其附录（如果有）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（4）专用合同条款及其附件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（5）通用合同条款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（6）技术标准和要求</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（7）图纸</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（8）已标价工程量清单或预算书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（9）其他合同文件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上述各项合同文件包括合同当事人就该项合同文件所作出的补充和修改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属于同一类内容的文件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应以最新签署的为准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在合同订立及履行过程中形成的与合同有关的文件均构成合同文件组成部分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并根据其性质确定优先解释顺序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8" w:name="_Toc17072"/>
      <w:bookmarkStart w:id="49" w:name="_Toc19510"/>
      <w:r>
        <w:rPr>
          <w:rFonts w:hint="eastAsia" w:ascii="宋体" w:hAnsi="宋体" w:eastAsia="宋体" w:cs="宋体"/>
          <w:spacing w:val="14"/>
          <w:sz w:val="24"/>
          <w:szCs w:val="24"/>
        </w:rPr>
        <w:t>1.6图纸和承包人文件</w:t>
      </w:r>
      <w:bookmarkEnd w:id="48"/>
      <w:bookmarkEnd w:id="4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 图纸的提供和交底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发包人应按照专用合同条款约定的期限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数量和内容向承包人免费提供图纸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并组织承包人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监理人和设计人进行图纸会审和设计交底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发包人至迟不得晚于第7.3.2项〔开工通知〕载明的开工日期前14天向承包人提供图纸</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因发包人未按合同约定提供图纸导致承包人费用增加和（或）工期延误的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按照第7.5.1项〔因发包人原因导致工期延误〕约定办理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 图纸的错误</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承包人在收到发包人提供的图纸后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发现图纸存在差错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遗漏或缺陷的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应及时通知监理人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监理人接到该通知后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应附具相关意见并立即报送发包人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发包人应在收到监理人报送的通知后的合理时间内作出决定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合理时间是指发包人在收到监理人的报送通知后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尽其努力且不懈怠地完成图纸修改补充所需的时间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1.6.3 图纸的修改和补充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图纸需要修改和补充的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应经图纸原设计人及审批部门同意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并由监理人在工程或工程相应部位施工前将修改后的图纸或补充图纸提交给承包人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承包人应按修改或补充后的图纸施工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1.6.4 承包人文件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承包人应按照专用合同条款的约定提供应当由其编制的与工程施工有关的文件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并按照专用合同条款约定的期限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数量和形式提交监理人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并由监理人报送发包人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监理人应在收到承包人文件后7天内审查完毕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监理人对承包人文件有异议的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承包人应予以修改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并重新报送监理人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监理人的审查并不减轻或免除承包人根据合同约定应当承担的责任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1.6.5 图纸和承包人文件的保管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承包人应在施工现场另外保存一套完整的图纸和承包人文件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供发包人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监理人及有关人员进行工程检查时使用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0" w:name="_Toc32697"/>
      <w:bookmarkStart w:id="51" w:name="_Toc16946"/>
      <w:r>
        <w:rPr>
          <w:rFonts w:hint="eastAsia" w:ascii="宋体" w:hAnsi="宋体" w:eastAsia="宋体" w:cs="宋体"/>
          <w:spacing w:val="14"/>
          <w:sz w:val="24"/>
          <w:szCs w:val="24"/>
        </w:rPr>
        <w:t>1.7联络</w:t>
      </w:r>
      <w:bookmarkEnd w:id="50"/>
      <w:bookmarkEnd w:id="5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val="en-US" w:eastAsia="zh-CN"/>
        </w:rPr>
      </w:pPr>
      <w:r>
        <w:rPr>
          <w:rFonts w:hint="eastAsia" w:ascii="宋体" w:hAnsi="宋体" w:eastAsia="宋体" w:cs="宋体"/>
          <w:spacing w:val="14"/>
          <w:sz w:val="24"/>
          <w:szCs w:val="24"/>
        </w:rPr>
        <w:t>1.7.1 与合同有关的通知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证明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指令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请求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确定和决定等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均应采用书面形式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并应在合同约定的期限内送达接收人和送达地点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1.7.2 发包人和承包人应在专用合同条款中约定各自的送达接收人和送达地点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任何一方合同当事人指定的接收人或送达地点发生变动的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应提前3天以书面形式通知对方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1.7.3 发包人和承包人应当及时签收另一方送达至送达地点和指定接收人的来往信函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拒不签收的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由此增加的费用和（或）延误的工期由拒绝接收一方承担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2" w:name="_Toc29925"/>
      <w:bookmarkStart w:id="53" w:name="_Toc23316"/>
      <w:r>
        <w:rPr>
          <w:rFonts w:hint="eastAsia" w:ascii="宋体" w:hAnsi="宋体" w:eastAsia="宋体" w:cs="宋体"/>
          <w:spacing w:val="14"/>
          <w:sz w:val="24"/>
          <w:szCs w:val="24"/>
        </w:rPr>
        <w:t>1.8严禁贿赂</w:t>
      </w:r>
      <w:bookmarkEnd w:id="52"/>
      <w:bookmarkEnd w:id="5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合同当事人不得以贿赂或变相贿赂的方式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谋取非法利益或损害对方权益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因一方合同当事人的贿赂造成对方损失的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应赔偿损失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并承担相应的法律责任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承包人不得与监理人或发包人聘请的第三方串通损害发包人利益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承包人不得为监理人提供合同约定以外的通讯设备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交通工具及其他任何形式的利益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不得向监理人支付报酬</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4" w:name="_Toc29069"/>
      <w:bookmarkStart w:id="55" w:name="_Toc1351"/>
      <w:r>
        <w:rPr>
          <w:rFonts w:hint="eastAsia" w:ascii="宋体" w:hAnsi="宋体" w:eastAsia="宋体" w:cs="宋体"/>
          <w:spacing w:val="14"/>
          <w:sz w:val="24"/>
          <w:szCs w:val="24"/>
        </w:rPr>
        <w:t>1.9化石</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文物</w:t>
      </w:r>
      <w:bookmarkEnd w:id="54"/>
      <w:bookmarkEnd w:id="5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在施工现场发掘的所有文物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古迹以及具有地质研究或考古价值的其他遗迹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化石</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钱币或物品属于国家所有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一旦发现上述文物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承包人应采取合理有效的保护措施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防止任何人员移动或损坏上述物品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并立即报告有关政府行政管理部门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同时通知监理人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监理人和承包人应按有关政府行政管理部门要求采取妥善的保护措施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承包人发现文物后不及时报告或隐瞒不报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致使文物丢失或损坏的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应赔偿损失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并承担相应的法律责任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6" w:name="_Toc26463"/>
      <w:bookmarkStart w:id="57" w:name="_Toc21684"/>
      <w:r>
        <w:rPr>
          <w:rFonts w:hint="eastAsia" w:ascii="宋体" w:hAnsi="宋体" w:eastAsia="宋体" w:cs="宋体"/>
          <w:spacing w:val="14"/>
          <w:sz w:val="24"/>
          <w:szCs w:val="24"/>
        </w:rPr>
        <w:t>1.10交通运输</w:t>
      </w:r>
      <w:bookmarkEnd w:id="56"/>
      <w:bookmarkEnd w:id="5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1.10.1 出入现场的权利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发包人应根据施工需要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负责取得出入施工现场所需的批准手续和全部权利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以及取得因施工所需修建道路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桥梁以及其他基础设施的权利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并承担相关手续费用和建设费用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承包人应协助发包人办理修建场内外道路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桥梁以及其他基础设施的手续</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承包人应在订立合同前查勘施工现场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并根据工程规模及技术参数合理预见工程施工所需的进出施工现场的方式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手段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路径等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因承包人未合理预见所增加的费用和（或）延误的工期由承包人承担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1.10.2 场外交通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发包人应提供场外交通设施的技术参数和具体条件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承包人应遵守有关交通法规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严格按照道路和桥梁的限制荷载行驶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执行有关道路限速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限行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禁止超载的规定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并配合交通管理部门的监督和检查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场外交通设施无法满足工程施工需要的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由发包人负责完善并承担相关费用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1.10.3</w:t>
      </w:r>
      <w:r>
        <w:rPr>
          <w:rFonts w:hint="eastAsia" w:ascii="宋体" w:hAnsi="宋体" w:eastAsia="宋体" w:cs="宋体"/>
          <w:spacing w:val="14"/>
          <w:sz w:val="24"/>
          <w:szCs w:val="24"/>
          <w:lang w:val="en-US" w:eastAsia="zh-CN"/>
        </w:rPr>
        <w:t xml:space="preserve"> </w:t>
      </w:r>
      <w:r>
        <w:rPr>
          <w:rFonts w:hint="eastAsia" w:ascii="宋体" w:hAnsi="宋体" w:eastAsia="宋体" w:cs="宋体"/>
          <w:spacing w:val="14"/>
          <w:sz w:val="24"/>
          <w:szCs w:val="24"/>
        </w:rPr>
        <w:t>场内交通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发包人应提供场内交通设施的技术参数和具体条件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并应按照专用合同条款的约定向承包人免费提供满足工程施工所需的场内道路和交通设施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因承包人原因造成上述道路或交通设施损坏的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承包人负责修复并承担由此增加的费用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除发包人按照合同约定提供的场内道路和交通设施外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承包人负责修建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维修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养护和管理施工所需的其他场内临时道路和交通设施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发包人和监理人可以为实现合同目的使用承包人修建的场内临时道路和交通设施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场外交通和场内交通的边界由合同当事人在专用合同条款中约定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1.10.4 超大件和超重件的运输</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由承包人负责运输的超大件或超重件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应由承包人负责向交通管理部门办理申请手续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发包人给予协助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运输超大件或超重件所需的道路和桥梁临时加固改造费用和其他有关费用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但专用合同条款另有约定除外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1.10.5 道路和桥梁的损坏责任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因承包人运输造成施工场地内外公共道路和桥梁损坏的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由承包人承担修复损坏的全部费用和可能引起的赔偿</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1.10.6 水路和航空运输</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本款前述各项的内容适用于水路运输和航空运输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其中“道路”一词的涵义包括河道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航线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船闸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机场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码头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堤防以及水路或航空运输中其他相似结构物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“车辆”一词的涵义包括船舶和飞机等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8" w:name="_Toc5885"/>
      <w:bookmarkStart w:id="59" w:name="_Toc8525"/>
      <w:r>
        <w:rPr>
          <w:rFonts w:hint="eastAsia" w:ascii="宋体" w:hAnsi="宋体" w:eastAsia="宋体" w:cs="宋体"/>
          <w:spacing w:val="14"/>
          <w:sz w:val="24"/>
          <w:szCs w:val="24"/>
        </w:rPr>
        <w:t>1.11知识产权</w:t>
      </w:r>
      <w:bookmarkEnd w:id="58"/>
      <w:bookmarkEnd w:id="5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1.11.1 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发包人提供给承包人的图纸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发包人为实施工程自行编制或委托编制的技术规范以及反映发包人要求的或其他类似性质的文件的著作权属于发包人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承包人可以为实现合同目的而复制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使用此类文件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但不能用于与合同无关的其他事项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承包人不得为了合同以外的目的而复制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使用上述文件或将之提供给任何第三方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1.11.2 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承包人为实施工程所编制的文件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除署名权以外的著作权属于发包人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承包人可因实施工程的运行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调试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维修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改造等目的而复制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使用此类文件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但不能用于与合同无关的其他事项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承包人不得为了合同以外的目的而复制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使用上述文件或将之提供给任何第三方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1.11.3 合同当事人保证在履行合同过程中不侵犯对方及第三方的知识产权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承包人在使用材料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工程设备或采用施工工艺时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因侵犯他人的专利权或其他知识产权所引起的责任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因发包人提供的材料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工程设备或施工工艺导致侵权的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1.11.4 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承包人在合同签订前和签订时已确定采用的专利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专有技术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技术秘密的使用费已包含在签约合同价中</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0" w:name="_Toc17678"/>
      <w:bookmarkStart w:id="61" w:name="_Toc11932"/>
      <w:r>
        <w:rPr>
          <w:rFonts w:hint="eastAsia" w:ascii="宋体" w:hAnsi="宋体" w:eastAsia="宋体" w:cs="宋体"/>
          <w:spacing w:val="14"/>
          <w:sz w:val="24"/>
          <w:szCs w:val="24"/>
        </w:rPr>
        <w:t>1.12保密</w:t>
      </w:r>
      <w:bookmarkEnd w:id="60"/>
      <w:bookmarkEnd w:id="6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除法律规定或合同另有约定外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未经发包人同意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承包人不得将发包人提供的图纸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文件以及声明需要保密的资料信息等商业秘密泄露给第三方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除法律规定或合同另有约定外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未经承包人同意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发包人不得将承包人提供的技术秘密及声明需要保密的资料信息等商业秘密泄露给第三方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2" w:name="_Toc20121"/>
      <w:bookmarkStart w:id="63" w:name="_Toc10049"/>
      <w:r>
        <w:rPr>
          <w:rFonts w:hint="eastAsia" w:ascii="宋体" w:hAnsi="宋体" w:eastAsia="宋体" w:cs="宋体"/>
          <w:spacing w:val="14"/>
          <w:sz w:val="24"/>
          <w:szCs w:val="24"/>
        </w:rPr>
        <w:t>1.13工程量清单错误的修正</w:t>
      </w:r>
      <w:bookmarkEnd w:id="62"/>
      <w:bookmarkEnd w:id="6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发包人提供的工程量清单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应被认为是准确的和完整的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出现下列情形之一时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发包人应予以修正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并相应调整合同价格：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（1）工程量清单存在缺项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漏项的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（2）工程量清单偏差超出专用合同条款约定的工程量偏差范围的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（3）未按照国家现行计量规范强制性规定计量的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64" w:name="_Toc22336"/>
      <w:bookmarkStart w:id="65" w:name="_Toc11771"/>
      <w:r>
        <w:rPr>
          <w:rFonts w:hint="eastAsia" w:ascii="宋体" w:hAnsi="宋体" w:eastAsia="宋体" w:cs="宋体"/>
          <w:spacing w:val="14"/>
          <w:sz w:val="24"/>
          <w:szCs w:val="24"/>
        </w:rPr>
        <w:t>2. 发包人</w:t>
      </w:r>
      <w:bookmarkEnd w:id="64"/>
      <w:bookmarkEnd w:id="6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6" w:name="_Toc611"/>
      <w:bookmarkStart w:id="67" w:name="_Toc31294"/>
      <w:r>
        <w:rPr>
          <w:rFonts w:hint="eastAsia" w:ascii="宋体" w:hAnsi="宋体" w:eastAsia="宋体" w:cs="宋体"/>
          <w:spacing w:val="14"/>
          <w:sz w:val="24"/>
          <w:szCs w:val="24"/>
        </w:rPr>
        <w:t>2.1 许可或批准</w:t>
      </w:r>
      <w:bookmarkEnd w:id="66"/>
      <w:bookmarkEnd w:id="6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发包人应遵守法律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并办理法律规定由其办理的许可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批准或备案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包括但不限于建设用地规划许可证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建设工程规划许可证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建设工程施工许可证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施工所需临时用水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临时用电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中断道路交通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临时占用土地等许可和批准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发包人应协助承包人办理法律规定的有关施工证件和批件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因发包人原因未能及时办理完毕前述许可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批准或备案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8" w:name="_Toc7376"/>
      <w:bookmarkStart w:id="69" w:name="_Toc21221"/>
      <w:r>
        <w:rPr>
          <w:rFonts w:hint="eastAsia" w:ascii="宋体" w:hAnsi="宋体" w:eastAsia="宋体" w:cs="宋体"/>
          <w:spacing w:val="14"/>
          <w:sz w:val="24"/>
          <w:szCs w:val="24"/>
        </w:rPr>
        <w:t>2.2 发包人代表</w:t>
      </w:r>
      <w:bookmarkEnd w:id="68"/>
      <w:bookmarkEnd w:id="6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发包人应在专用合同条款中明确其派驻施工现场的发包人代表的姓名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职务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联系方式及授权范围等事项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发包人代表在发包人的授权范围内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负责处理合同履行过程中与发包人有关的具体事宜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发包人代表在授权范围内的行为由发包人承担法律责任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发包人更换发包人代表的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应提前7天书面通知承包人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发包人代表不能按照合同约定履行其职责及义务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并导致合同无法继续正常履行的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承包人可以要求发包人撤换发包人代表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不属于法定必须监理的工程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监理人的职权可以由发包人代表或发包人指定的其他人员行使</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70" w:name="_Toc18442"/>
      <w:bookmarkStart w:id="71" w:name="_Toc25855"/>
      <w:r>
        <w:rPr>
          <w:rFonts w:hint="eastAsia" w:ascii="宋体" w:hAnsi="宋体" w:eastAsia="宋体" w:cs="宋体"/>
          <w:spacing w:val="14"/>
          <w:sz w:val="24"/>
          <w:szCs w:val="24"/>
        </w:rPr>
        <w:t>2.3 发包人人员</w:t>
      </w:r>
      <w:bookmarkEnd w:id="70"/>
      <w:bookmarkEnd w:id="7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发包人应要求在施工现场的发包人人员遵守法律及有关安全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环境保护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文明施工等规定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并保障承包人免于承受因发包人人员未遵守上述要求给承包人造成的损失和责任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发包人人员包括发包人代表及其他由发包人派驻施工现场的人员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72" w:name="_Toc24394"/>
      <w:bookmarkStart w:id="73" w:name="_Toc27376"/>
      <w:r>
        <w:rPr>
          <w:rFonts w:hint="eastAsia" w:ascii="宋体" w:hAnsi="宋体" w:eastAsia="宋体" w:cs="宋体"/>
          <w:spacing w:val="14"/>
          <w:sz w:val="24"/>
          <w:szCs w:val="24"/>
        </w:rPr>
        <w:t>2.4 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施工条件和基础资料的提供</w:t>
      </w:r>
      <w:bookmarkEnd w:id="72"/>
      <w:bookmarkEnd w:id="7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2.4.1 提供施工现场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发包人应最迟于开工日期7天前向承包人移交施工现场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2.4.2 提供施工条件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发包人应负责提供施工所需要的条件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（1）将施工用水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电力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通讯线路等施工所必需的条件接至施工现场内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（2）保证向承包人提供正常施工所需要的进入施工现场的交通条件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（3）协调处理施工现场周围地下管线和邻近建筑物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构筑物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古树名木的保护工作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并承担相关费用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（4）按照专用合同条款约定应提供的其他设施和条件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2.4.3 提供基础资料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发包人应当在移交施工现场前向承包人提供施工现场及工程施工所必需的毗邻区域内供水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排水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供电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供气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供热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广播电视等地下管线资料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气象和水文观测资料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地质勘察资料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相邻建筑物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构筑物和地下工程等有关基础资料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并对所提供资料的真实性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准确性和完整性负责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按照法律规定确需在开工后方能提供的基础资料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发包人应尽其努力及时地在相应工程施工前的合理期限内提供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合理期限应以不影响承包人的正常施工为限</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2.4.4 逾期提供的责任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因发包人原因未能按合同约定及时向承包人提供施工现场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基础资料的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由发包人承担由此增加的费用和（或）延误的工期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74" w:name="_Toc30060"/>
      <w:bookmarkStart w:id="75" w:name="_Toc13072"/>
      <w:r>
        <w:rPr>
          <w:rFonts w:hint="eastAsia" w:ascii="宋体" w:hAnsi="宋体" w:eastAsia="宋体" w:cs="宋体"/>
          <w:spacing w:val="14"/>
          <w:sz w:val="24"/>
          <w:szCs w:val="24"/>
        </w:rPr>
        <w:t>2.5 资金来源证明及支付担保</w:t>
      </w:r>
      <w:bookmarkEnd w:id="74"/>
      <w:bookmarkEnd w:id="7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发包人应在收到承包人要求提供资金来源证明的书面通知后28天内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向承包人提供能够按照合同约定支付合同价款的相应资金来源证明</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发包人要求承包人提供履约担保的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发包人应当向承包人提供支付担保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支付担保可以采用银行保函或担保公司担保等形式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具体由合同当事人在专用合同条款中约定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76" w:name="_Toc11398"/>
      <w:bookmarkStart w:id="77" w:name="_Toc8080"/>
      <w:r>
        <w:rPr>
          <w:rFonts w:hint="eastAsia" w:ascii="宋体" w:hAnsi="宋体" w:eastAsia="宋体" w:cs="宋体"/>
          <w:spacing w:val="14"/>
          <w:sz w:val="24"/>
          <w:szCs w:val="24"/>
        </w:rPr>
        <w:t>2.6 支付合同价款</w:t>
      </w:r>
      <w:bookmarkEnd w:id="76"/>
      <w:bookmarkEnd w:id="7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发包人应按合同约定向承包人及时支付合同价款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78" w:name="_Toc6907"/>
      <w:bookmarkStart w:id="79" w:name="_Toc27544"/>
      <w:r>
        <w:rPr>
          <w:rFonts w:hint="eastAsia" w:ascii="宋体" w:hAnsi="宋体" w:eastAsia="宋体" w:cs="宋体"/>
          <w:spacing w:val="14"/>
          <w:sz w:val="24"/>
          <w:szCs w:val="24"/>
        </w:rPr>
        <w:t>2.7 组织竣工验收</w:t>
      </w:r>
      <w:bookmarkEnd w:id="78"/>
      <w:bookmarkEnd w:id="7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发包人应按合同约定及时组织竣工验收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80" w:name="_Toc15595"/>
      <w:bookmarkStart w:id="81" w:name="_Toc2353"/>
      <w:r>
        <w:rPr>
          <w:rFonts w:hint="eastAsia" w:ascii="宋体" w:hAnsi="宋体" w:eastAsia="宋体" w:cs="宋体"/>
          <w:spacing w:val="14"/>
          <w:sz w:val="24"/>
          <w:szCs w:val="24"/>
        </w:rPr>
        <w:t>2.8 现场统一管理协议</w:t>
      </w:r>
      <w:bookmarkEnd w:id="80"/>
      <w:bookmarkEnd w:id="8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发包人应与承包人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由发包人直接发包的专业工程的承包人签订施工现场统一管理协议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明确各方的权利义务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施工现场统一管理协议作为专用合同条款的附件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82" w:name="_Toc18537"/>
      <w:bookmarkStart w:id="83" w:name="_Toc21875"/>
      <w:r>
        <w:rPr>
          <w:rFonts w:hint="eastAsia" w:ascii="宋体" w:hAnsi="宋体" w:eastAsia="宋体" w:cs="宋体"/>
          <w:spacing w:val="14"/>
          <w:sz w:val="24"/>
          <w:szCs w:val="24"/>
        </w:rPr>
        <w:t>3. 承包人</w:t>
      </w:r>
      <w:bookmarkEnd w:id="82"/>
      <w:bookmarkEnd w:id="8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84" w:name="_Toc2409"/>
      <w:bookmarkStart w:id="85" w:name="_Toc8190"/>
      <w:r>
        <w:rPr>
          <w:rFonts w:hint="eastAsia" w:ascii="宋体" w:hAnsi="宋体" w:eastAsia="宋体" w:cs="宋体"/>
          <w:spacing w:val="14"/>
          <w:sz w:val="24"/>
          <w:szCs w:val="24"/>
        </w:rPr>
        <w:t>3.1 承包人的一般义务</w:t>
      </w:r>
      <w:bookmarkEnd w:id="84"/>
      <w:bookmarkEnd w:id="8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承包人在履行合同过程中应遵守法律和工程建设标准规范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并履行以下义务：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（1）办理法律规定应由承包人办理的许可和批准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并将办理结果书面报送发包人留存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（2）按法律规定和合同约定完成工程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并在保修期内承担保修义务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（3）按法律规定和合同约定采取施工安全和环境保护措施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办理工伤保险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确保工程及人员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设备和设施的安全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（4）按合同约定的工作内容和施工进度要求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编制施工组织设计和施工措施计划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并对所有施工作业和施工方法的完备性和安全可靠性负责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（5）在进行合同约定的各项工作时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不得侵害发包人与他人使用公用道路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水源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市政管网等公共设施的权利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避免对邻近的公共设施产生干扰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承包人占用或使用他人的施工场地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影响他人作业或生活的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应承担相应责任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（6）按照第6.3款〔环境保护〕约定负责施工场地及其周边环境与生态的保护工作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（7）按第6.1款〔安全文明施工〕约定采取施工安全措施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确保工程及其人员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设备和设施的安全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防止因工程施工造成的人身伤害和财产损失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（8）将发包人按合同约定支付的各项价款专用于合同工程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且应及时支付其雇用人员工资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并及时向分包人支付合同价款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（9）按照法律规定和合同约定编制竣工资料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完成竣工资料立卷及归档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并按专用合同条款约定的竣工资料的套数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内容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时间等要求移交发包人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（10）应履行的其他义务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86" w:name="_Toc5735"/>
      <w:bookmarkStart w:id="87" w:name="_Toc13915"/>
      <w:r>
        <w:rPr>
          <w:rFonts w:hint="eastAsia" w:ascii="宋体" w:hAnsi="宋体" w:eastAsia="宋体" w:cs="宋体"/>
          <w:spacing w:val="14"/>
          <w:sz w:val="24"/>
          <w:szCs w:val="24"/>
        </w:rPr>
        <w:t>3.2 项目经理</w:t>
      </w:r>
      <w:bookmarkEnd w:id="86"/>
      <w:bookmarkEnd w:id="8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3.2.1 项目经理应为合同当事人所确认的人选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并在专用合同条款中明确项目经理的姓名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职称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注册执业证书编号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联系方式及授权范围等事项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项目经理经承包人授权后代表承包人负责履行合同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项目经理应是承包人正式聘用的员工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承包人应向发包人提交项目经理与承包人之间的劳动合同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以及承包人为项目经理缴纳社会保险的有效证明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承包人不提交上述文件的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项目经理无权履行职责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发包人有权要求更换项目经理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项目经理应常驻施工现场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且每月在施工现场时间不得少于专用合同条款约定的天数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项目经理不得同时担任其他项目的项目经理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项目经理确需离开施工现场时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应事先通知监理人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并取得发包人的书面同意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项目经理的通知中应当载明临时代行其职责的人员的注册执业资格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管理经验等资料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该人员应具备履行相应职责的能力</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承包人违反上述约定的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应按照专用合同条款的约定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承担违约责任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3.2.2 项目经理按合同约定组织工程实施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在紧急情况下为确保施工安全和人员安全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在无法与发包人代表和总监理工程师及时取得联系时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项目经理有权采取必要的措施保证与工程有关的人身</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财产和工程的安全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但应在48小时内向发包人代表和总监理工程师提交书面报告</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3.2.3 承包人需要更换项目经理的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应提前14天书面通知发包人和监理人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并征得发包人书面同意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通知中应当载明继任项目经理的注册执业资格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管理经验等资料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继任项目经理继续履行第3.2.1项约定的职责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承包人不得擅自更换项目经理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承包人擅自更换项目经理的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应按照专用合同条款的约定承担违约责任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3.2.4 发包人有权书面通知承包人更换其认为不称职的项目经理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通知中应当载明要求更换的理由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承包人应在接到更换通知后14天内向发包人提出书面的改进报告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发包人收到改进报告后仍要求更换的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承包人应在接到第二次更换通知的28天内进行更换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并将新任命的项目经理的注册执业资格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管理经验等资料书面通知发包人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继任项目经理继续履行第3.2.1项约定的职责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承包人无正当理由拒绝更换项目经理的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应按照专用合同条款的约定承担违约责任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3.2.5 项目经理因特殊情况授权其下属人员履行其某项工作职责的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该下属人员应具备履行相应职责的能力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并应提前7天将上述人员的姓名和授权范围书面通知监理人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并征得发包人书面同意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88" w:name="_Toc14782"/>
      <w:bookmarkStart w:id="89" w:name="_Toc23522"/>
      <w:r>
        <w:rPr>
          <w:rFonts w:hint="eastAsia" w:ascii="宋体" w:hAnsi="宋体" w:eastAsia="宋体" w:cs="宋体"/>
          <w:spacing w:val="14"/>
          <w:sz w:val="24"/>
          <w:szCs w:val="24"/>
        </w:rPr>
        <w:t>3.3 承包人人员</w:t>
      </w:r>
      <w:bookmarkEnd w:id="88"/>
      <w:bookmarkEnd w:id="8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3.3.1 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承包人应在接到开工通知后7天内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向监理人提交承包人项目管理机构及施工现场人员安排的报告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其内容应包括合同管理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技术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财务等主要施工管理人员名单及其岗位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注册执业资格等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以及各工种技术工人的安排情况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并同时提交主要施工管理人员与承包人之间的劳动关系证明和缴纳社会保险的有效证明</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3.3.2 承包人派驻到施工现场的主要施工管理人员应相对稳定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施工过程中如有变动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承包人应及时向监理人提交施工现场人员变动情况的报告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承包人更换主要施工管理人员时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应提前7天书面通知监理人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并征得发包人书面同意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通知中应当载明继任人员的注册执业资格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管理经验等资料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特殊工种作业人员均应持有相应的资格证明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监理人可以随时检查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3.3.3 发包人对于承包人主要施工管理人员的资格或能力有异议的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承包人应提供资料证明被质疑人员有能力完成其岗位工作或不存在发包人所质疑的情形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发包人要求撤换不能按照合同约定履行职责及义务的主要施工管理人员的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承包人应当撤换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承包人无正当理由拒绝撤换的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应按照专用合同条款的约定承担违约责任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3.3.4 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承包人的主要施工管理人员离开施工现场每月累计不超过5天的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应报监理人同意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离开施工现场每月累计超过5天的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并征得发包人书面同意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主要施工管理人员离开施工现场前应指定一名有经验的人员临时代行其职责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该人员应具备履行相应职责的资格和能力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且应征得监理人或发包人的同意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3.3.5 承包人擅自更换主要施工管理人员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或前述人员未经监理人或发包人同意擅自离开施工现场的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应按照专用合同条款约定承担违约责任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90" w:name="_Toc25079"/>
      <w:bookmarkStart w:id="91" w:name="_Toc12713"/>
      <w:r>
        <w:rPr>
          <w:rFonts w:hint="eastAsia" w:ascii="宋体" w:hAnsi="宋体" w:eastAsia="宋体" w:cs="宋体"/>
          <w:spacing w:val="14"/>
          <w:sz w:val="24"/>
          <w:szCs w:val="24"/>
        </w:rPr>
        <w:t>3.4 承包人现场查勘</w:t>
      </w:r>
      <w:bookmarkEnd w:id="90"/>
      <w:bookmarkEnd w:id="9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承包人应对基于发包人按照第2.4.3项〔提供基础资料〕提交的基础资料所做出的解释和推断负责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但因基础资料存在错误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遗漏导致承包人解释或推断失实的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承包人应对施工现场和施工条件进行查勘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并充分了解工程所在地的气象条件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交通条件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风俗习惯以及其他与完成合同工作有关的其他资料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因承包人未能充分查勘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了解前述情况或未能充分估计前述情况所可能产生后果的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承包人承担由此增加的费用和（或）延误的工期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92" w:name="_Toc15087"/>
      <w:bookmarkStart w:id="93" w:name="_Toc195"/>
      <w:r>
        <w:rPr>
          <w:rFonts w:hint="eastAsia" w:ascii="宋体" w:hAnsi="宋体" w:eastAsia="宋体" w:cs="宋体"/>
          <w:spacing w:val="14"/>
          <w:sz w:val="24"/>
          <w:szCs w:val="24"/>
        </w:rPr>
        <w:t>3.5 分包</w:t>
      </w:r>
      <w:bookmarkEnd w:id="92"/>
      <w:bookmarkEnd w:id="9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3.5.1 分包的一般约定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承包人不得将其承包的全部工程转包给第三人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或将其承包的全部工程肢解后以分包的名义转包给第三人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承包人不得将工程主体结构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关键性工作及专用合同条款中禁止分包的专业工程分包给第三人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主体结构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关键性工作的范围由合同当事人按照法律规定在专用合同条款中予以明确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承包人不得以劳务分包的名义转包或违法分包工程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3.5.2 分包的确定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承包人应按专用合同条款的约定进行分包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确定分包人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已标价工程量清单或预算书中给定暂估价的专业工程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按照第10.7款〔暂估价〕确定分包人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按照合同约定进行分包的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承包人应确保分包人具有相应的资质和能力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工程分包不减轻或免除承包人的责任和义务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承包人和分包人就分包工程向发包人承担连带责任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除合同另有约定外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承包人应在分包合同签订后7天内向发包人和监理人提交分包合同副本</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3.5.3 分包管理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承包人应向监理人提交分包人的主要施工管理人员表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并对分包人的施工人员进行实名制管理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包括但不限于进出场管理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登记造册以及各种证照的办理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3.5.4 分包合同价款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（1）除本项第（2）目约定的情况或专用合同条款另有约定外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分包合同价款由承包人与分包人结算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未经承包人同意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发包人不得向分包人支付分包工程价款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（2）生效法律文书要求发包人向分包人支付分包合同价款的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发包人有权从应付承包人工程款中扣除该部分款项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3.5.5 分包合同权益的转让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分包人在分包合同项下的义务持续到缺陷责任期届满以后的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发包人有权在缺陷责任期届满前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要求承包人将其在分包合同项下的权益转让给发包人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承包人应当转让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除转让合同另有约定外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转让合同生效后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由分包人向发包人履行义务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94" w:name="_Toc13163"/>
      <w:bookmarkStart w:id="95" w:name="_Toc9782"/>
      <w:r>
        <w:rPr>
          <w:rFonts w:hint="eastAsia" w:ascii="宋体" w:hAnsi="宋体" w:eastAsia="宋体" w:cs="宋体"/>
          <w:spacing w:val="14"/>
          <w:sz w:val="24"/>
          <w:szCs w:val="24"/>
        </w:rPr>
        <w:t>3.6 工程照管与成品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半成品保护</w:t>
      </w:r>
      <w:bookmarkEnd w:id="94"/>
      <w:bookmarkEnd w:id="9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自发包人向承包人移交施工现场之日起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承包人应负责照管工程及工程相关的材料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直到颁发工程接收证书之日止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（2）在承包人负责照管期间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因承包人原因造成工程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工程设备损坏的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由承包人负责修复或更换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并承担由此增加的费用和（或）延误的工期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（3）对合同内分期完成的成品和半成品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在工程接收证书颁发前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由承包人承担保护责任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因承包人原因造成成品或半成品损坏的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由承包人负责修复或更换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并承担由此增加的费用和（或）延误的工期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96" w:name="_Toc6726"/>
      <w:bookmarkStart w:id="97" w:name="_Toc11775"/>
      <w:r>
        <w:rPr>
          <w:rFonts w:hint="eastAsia" w:ascii="宋体" w:hAnsi="宋体" w:eastAsia="宋体" w:cs="宋体"/>
          <w:spacing w:val="14"/>
          <w:sz w:val="24"/>
          <w:szCs w:val="24"/>
        </w:rPr>
        <w:t>3.7 履约担保</w:t>
      </w:r>
      <w:bookmarkEnd w:id="96"/>
      <w:bookmarkEnd w:id="9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发包人需要承包人提供履约担保的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由合同当事人在专用合同条款中约定履约担保的方式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金额及期限等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履约担保可以采用银行保函或担保公司担保等形式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具体由合同当事人在专用合同条款中约定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因承包人原因导致工期延长的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继续提供履约担保所增加的费用由承包人承担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非因承包人原因导致工期延长的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继续提供履约担保所增加的费用由发包人承担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98" w:name="_Toc1936"/>
      <w:bookmarkStart w:id="99" w:name="_Toc31449"/>
      <w:r>
        <w:rPr>
          <w:rFonts w:hint="eastAsia" w:ascii="宋体" w:hAnsi="宋体" w:eastAsia="宋体" w:cs="宋体"/>
          <w:spacing w:val="14"/>
          <w:sz w:val="24"/>
          <w:szCs w:val="24"/>
        </w:rPr>
        <w:t>3.8 联合体</w:t>
      </w:r>
      <w:bookmarkEnd w:id="98"/>
      <w:bookmarkEnd w:id="9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3.8.1 联合体各方应共同与发包人签订合同协议书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联合体各方应为履行合同向发包人承担连带责任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3.8.2 联合体协议经发包人确认后作为合同附件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在履行合同过程中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未经发包人同意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不得修改联合体协议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3.8.3 联合体牵头人负责与发包人和监理人联系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并接受指示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负责组织联合体各成员全面履行合同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00" w:name="_Toc23587"/>
      <w:bookmarkStart w:id="101" w:name="_Toc18316"/>
      <w:r>
        <w:rPr>
          <w:rFonts w:hint="eastAsia" w:ascii="宋体" w:hAnsi="宋体" w:eastAsia="宋体" w:cs="宋体"/>
          <w:spacing w:val="14"/>
          <w:sz w:val="24"/>
          <w:szCs w:val="24"/>
        </w:rPr>
        <w:t>4. 监理人</w:t>
      </w:r>
      <w:bookmarkEnd w:id="100"/>
      <w:bookmarkEnd w:id="10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02" w:name="_Toc17157"/>
      <w:bookmarkStart w:id="103" w:name="_Toc26655"/>
      <w:r>
        <w:rPr>
          <w:rFonts w:hint="eastAsia" w:ascii="宋体" w:hAnsi="宋体" w:eastAsia="宋体" w:cs="宋体"/>
          <w:spacing w:val="14"/>
          <w:sz w:val="24"/>
          <w:szCs w:val="24"/>
        </w:rPr>
        <w:t>4.1监理人的一般规定</w:t>
      </w:r>
      <w:bookmarkEnd w:id="102"/>
      <w:bookmarkEnd w:id="10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工程实行监理的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发包人和承包人应在专用合同条款中明确监理人的监理内容及监理权限等事项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监理人应当根据发包人授权及法律规定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代表发包人对工程施工相关事项进行检查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查验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审核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并签发相关指示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但监理人无权修改合同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且无权减轻或免除合同约定的承包人的任何责任与义务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监理人在施工现场的办公场所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生活场所由承包人提供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所发生的费用由发包人承担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04" w:name="_Toc1857"/>
      <w:bookmarkStart w:id="105" w:name="_Toc15504"/>
      <w:r>
        <w:rPr>
          <w:rFonts w:hint="eastAsia" w:ascii="宋体" w:hAnsi="宋体" w:eastAsia="宋体" w:cs="宋体"/>
          <w:spacing w:val="14"/>
          <w:sz w:val="24"/>
          <w:szCs w:val="24"/>
        </w:rPr>
        <w:t>4.2监理人员</w:t>
      </w:r>
      <w:bookmarkEnd w:id="104"/>
      <w:bookmarkEnd w:id="10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发包人授予监理人对工程实施监理的权利由监理人派驻施工现场的监理人员行使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监理人员包括总监理工程师及监理工程师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监理人应将授权的总监理工程师和监理工程师的姓名及授权范围以书面形式提前通知承包人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更换总监理工程师的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监理人应提前7天书面通知承包人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更换其他监理人员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监理人应提前48小时书面通知承包人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06" w:name="_Toc7126"/>
      <w:bookmarkStart w:id="107" w:name="_Toc32304"/>
      <w:r>
        <w:rPr>
          <w:rFonts w:hint="eastAsia" w:ascii="宋体" w:hAnsi="宋体" w:eastAsia="宋体" w:cs="宋体"/>
          <w:spacing w:val="14"/>
          <w:sz w:val="24"/>
          <w:szCs w:val="24"/>
        </w:rPr>
        <w:t>4.3监理人的指示</w:t>
      </w:r>
      <w:bookmarkEnd w:id="106"/>
      <w:bookmarkEnd w:id="10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监理人应按照发包人的授权发出监理指示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监理人的指示应采用书面形式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并经其授权的监理人员签字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紧急情况下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为了保证施工人员的安全或避免工程受损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监理人员可以口头形式发出指示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该指示与书面形式的指示具有同等法律效力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但必须在发出口头指示后24小时内补发书面监理指示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补发的书面监理指示应与口头指示一致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监理人发出的指示应送达承包人项目经理或经项目经理授权接收的人员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因监理人未能按合同约定发出指示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指示延误或发出了错误指示而导致承包人费用增加和（或）工期延误的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由发包人承担相应责任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总监理工程师不应将第4.4款〔商定或确定〕约定应由总监理工程师作出确定的权力授权或委托给其他监理人员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承包人对监理人发出的指示有疑问的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应向监理人提出书面异议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监理人应在48小时内对该指示予以确认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更改或撤销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监理人逾期未回复的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承包人有权拒绝执行上述指示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监理人对承包人的任何工作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工程或其采用的材料和工程设备未在约定的或合理期限内提出意见的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但不免除或减轻承包人对该工作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工程设备等应承担的责任和义务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08" w:name="_Toc5740"/>
      <w:bookmarkStart w:id="109" w:name="_Toc6182"/>
      <w:r>
        <w:rPr>
          <w:rFonts w:hint="eastAsia" w:ascii="宋体" w:hAnsi="宋体" w:eastAsia="宋体" w:cs="宋体"/>
          <w:spacing w:val="14"/>
          <w:sz w:val="24"/>
          <w:szCs w:val="24"/>
        </w:rPr>
        <w:t>4.4 商定或确定</w:t>
      </w:r>
      <w:bookmarkEnd w:id="108"/>
      <w:bookmarkEnd w:id="10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合同当事人进行商定或确定时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总监理工程师应当会同合同当事人尽量通过协商达成一致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不能达成一致的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由总监理工程师按照合同约定审慎做出公正的确定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总监理工程师应将确定以书面形式通知发包人和承包人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并附详细依据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合同当事人对总监理工程师的确定没有异议的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按照总监理工程师的确定执行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任何一方合同当事人有异议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按照第20条〔争议解决〕约定处理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争议解决前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合同当事人暂按总监理工程师的确定执行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争议解决后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争议解决的结果与总监理工程师的确定不一致的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按照争议解决的结果执行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由此造成的损失由责任人承担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10" w:name="_Toc6834"/>
      <w:bookmarkStart w:id="111" w:name="_Toc10524"/>
      <w:r>
        <w:rPr>
          <w:rFonts w:hint="eastAsia" w:ascii="宋体" w:hAnsi="宋体" w:eastAsia="宋体" w:cs="宋体"/>
          <w:spacing w:val="14"/>
          <w:sz w:val="24"/>
          <w:szCs w:val="24"/>
        </w:rPr>
        <w:t>5. 工程质量</w:t>
      </w:r>
      <w:bookmarkEnd w:id="110"/>
      <w:bookmarkEnd w:id="11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12" w:name="_Toc10083"/>
      <w:bookmarkStart w:id="113" w:name="_Toc6902"/>
      <w:r>
        <w:rPr>
          <w:rFonts w:hint="eastAsia" w:ascii="宋体" w:hAnsi="宋体" w:eastAsia="宋体" w:cs="宋体"/>
          <w:spacing w:val="14"/>
          <w:sz w:val="24"/>
          <w:szCs w:val="24"/>
        </w:rPr>
        <w:t>5.1质量要求</w:t>
      </w:r>
      <w:bookmarkEnd w:id="112"/>
      <w:bookmarkEnd w:id="11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5.1.1 工程质量标准必须符合现行国家有关工程施工质量验收规范和标准的要求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有关工程质量的特殊标准或要求由合同当事人在专用合同条款中约定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5.1.2 因发包人原因造成工程质量未达到合同约定标准的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5.1.3 因承包人原因造成工程质量未达到合同约定标准的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发包人有权要求承包人返工直至工程质量达到合同约定的标准为止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并由承包人承担由此增加的费用和（或）延误的工期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14" w:name="_Toc4222"/>
      <w:bookmarkStart w:id="115" w:name="_Toc22236"/>
      <w:r>
        <w:rPr>
          <w:rFonts w:hint="eastAsia" w:ascii="宋体" w:hAnsi="宋体" w:eastAsia="宋体" w:cs="宋体"/>
          <w:spacing w:val="14"/>
          <w:sz w:val="24"/>
          <w:szCs w:val="24"/>
        </w:rPr>
        <w:t>5.2质量保证措施</w:t>
      </w:r>
      <w:bookmarkEnd w:id="114"/>
      <w:bookmarkEnd w:id="11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5.2.1 发包人的质量管理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发包人应按照法律规定及合同约定完成与工程质量有关的各项工作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5.2.2 承包人的质量管理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承包人按照第7.1款〔施工组织设计〕约定向发包人和监理人提交工程质量保证体系及措施文件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建立完善的质量检查制度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并提交相应的工程质量文件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对于发包人和监理人违反法律规定和合同约定的错误指示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承包人有权拒绝实施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承包人应对施工人员进行质量教育和技术培训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定期考核施工人员的劳动技能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严格执行施工规范和操作规程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承包人应按照法律规定和发包人的要求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工程设备以及工程的所有部位及其施工工艺进行全过程的质量检查和检验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并作详细记录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编制工程质量报表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报送监理人审查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此外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承包人还应按照法律规定和发包人的要求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进行施工现场取样试验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工程复核测量和设备性能检测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提供试验样品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提交试验报告和测量成果以及其他工作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5.2.3 监理人的质量检查和检验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监理人按照法律规定和发包人授权对工程的所有部位及其施工工艺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材料和工程设备进行检查和检验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承包人应为监理人的检查和检验提供方便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包括监理人到施工现场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或制造</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加工地点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或合同约定的其他地方进行察看和查阅施工原始记录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监理人为此进行的检查和检验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不免除或减轻承包人按照合同约定应当承担的责任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监理人的检查和检验不应影响施工正常进行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监理人的检查和检验影响施工正常进行的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且经检查检验不合格的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影响正常施工的费用由承包人承担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工期不予顺延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经检查检验合格的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16" w:name="_Toc12232"/>
      <w:bookmarkStart w:id="117" w:name="_Toc21642"/>
      <w:r>
        <w:rPr>
          <w:rFonts w:hint="eastAsia" w:ascii="宋体" w:hAnsi="宋体" w:eastAsia="宋体" w:cs="宋体"/>
          <w:spacing w:val="14"/>
          <w:sz w:val="24"/>
          <w:szCs w:val="24"/>
        </w:rPr>
        <w:t>5.3 隐蔽工程检查</w:t>
      </w:r>
      <w:bookmarkEnd w:id="116"/>
      <w:bookmarkEnd w:id="11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5.3.1承包人自检</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承包人应当对工程隐蔽部位进行自检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并经自检确认是否具备覆盖条件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5.3.2检查程序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工程隐蔽部位经承包人自检确认具备覆盖条件的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承包人应在共同检查前48小时书面通知监理人检查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通知中应载明隐蔽检查的内容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时间和地点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并应附有自检记录和必要的检查资料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监理人应按时到场并对隐蔽工程及其施工工艺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材料和工程设备进行检查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经监理人检查确认质量符合隐蔽要求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并在验收记录上签字后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承包人才能进行覆盖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经监理人检查质量不合格的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承包人应在监理人指示的时间内完成修复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并由监理人重新检查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监理人不能按时进行检查的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应在检查前24小时向承包人提交书面延期要求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但延期不能超过48小时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由此导致工期延误的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工期应予以顺延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监理人未按时进行检查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也未提出延期要求的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视为隐蔽工程检查合格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承包人可自行完成覆盖工作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并作相应记录报送监理人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监理人应签字确认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监理人事后对检查记录有疑问的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可按第5.3.3项〔重新检查〕的约定重新检查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5.3.3 重新检查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承包人覆盖工程隐蔽部位后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发包人或监理人对质量有疑问的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可要求承包人对已覆盖的部位进行钻孔探测或揭开重新检查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承包人应遵照执行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并在检查后重新覆盖恢复原状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经检查证明工程质量符合合同要求的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经检查证明工程质量不符合合同要求的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5.3.4 承包人私自覆盖</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承包人未通知监理人到场检查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私自将工程隐蔽部位覆盖的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监理人有权指示承包人钻孔探测或揭开检查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无论工程隐蔽部位质量是否合格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由此增加的费用和（或）延误的工期均由承包人承担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18" w:name="_Toc18624"/>
      <w:bookmarkStart w:id="119" w:name="_Toc30492"/>
      <w:r>
        <w:rPr>
          <w:rFonts w:hint="eastAsia" w:ascii="宋体" w:hAnsi="宋体" w:eastAsia="宋体" w:cs="宋体"/>
          <w:spacing w:val="14"/>
          <w:sz w:val="24"/>
          <w:szCs w:val="24"/>
        </w:rPr>
        <w:t>5.4不合格工程的处理</w:t>
      </w:r>
      <w:bookmarkEnd w:id="118"/>
      <w:bookmarkEnd w:id="11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5.4.1 因承包人原因造成工程不合格的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发包人有权随时要求承包人采取补救措施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直至达到合同要求的质量标准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无法补救的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按照第13.2.4项〔拒绝接收全部或部分工程〕约定执行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5.4.2 因发包人原因造成工程不合格的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20" w:name="_Toc776"/>
      <w:bookmarkStart w:id="121" w:name="_Toc12224"/>
      <w:r>
        <w:rPr>
          <w:rFonts w:hint="eastAsia" w:ascii="宋体" w:hAnsi="宋体" w:eastAsia="宋体" w:cs="宋体"/>
          <w:spacing w:val="14"/>
          <w:sz w:val="24"/>
          <w:szCs w:val="24"/>
        </w:rPr>
        <w:t>5.5 质量争议检测</w:t>
      </w:r>
      <w:bookmarkEnd w:id="120"/>
      <w:bookmarkEnd w:id="12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合同当事人对工程质量有争议的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由双方协商确定的工程质量检测机构鉴定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由此产生的费用及因此造成的损失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由责任方承担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合同当事人均有责任的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由双方根据其责任分别承担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合同当事人无法达成一致的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按照第4.4款〔商定或确定〕执行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22" w:name="_Toc28927"/>
      <w:bookmarkStart w:id="123" w:name="_Toc25030"/>
      <w:r>
        <w:rPr>
          <w:rFonts w:hint="eastAsia" w:ascii="宋体" w:hAnsi="宋体" w:eastAsia="宋体" w:cs="宋体"/>
          <w:spacing w:val="14"/>
          <w:sz w:val="24"/>
          <w:szCs w:val="24"/>
        </w:rPr>
        <w:t>6. 安全文明施工与环境保护</w:t>
      </w:r>
      <w:bookmarkEnd w:id="122"/>
      <w:bookmarkEnd w:id="12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24" w:name="_Toc2970"/>
      <w:bookmarkStart w:id="125" w:name="_Toc16597"/>
      <w:r>
        <w:rPr>
          <w:rFonts w:hint="eastAsia" w:ascii="宋体" w:hAnsi="宋体" w:eastAsia="宋体" w:cs="宋体"/>
          <w:spacing w:val="14"/>
          <w:sz w:val="24"/>
          <w:szCs w:val="24"/>
        </w:rPr>
        <w:t>6.1 安全文明施工</w:t>
      </w:r>
      <w:bookmarkEnd w:id="124"/>
      <w:bookmarkEnd w:id="12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6.1.1 安全生产要求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合同履行期间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合同当事人均应当遵守国家和工程所在地有关安全生产的要求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合同当事人有特别要求的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应在专用合同条款中明确施工项目安全生产标准化达标目标及相应事项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承包人有权拒绝发包人及监理人强令承包人违章作业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冒险施工的任何指示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在施工过程中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如遇到突发的地质变动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事先未知的地下施工障碍等影响施工安全的紧急情况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承包人应及时报告监理人和发包人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发包人应当及时下令停工并报政府有关行政管理部门采取应急措施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因安全生产需要暂停施工的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按照第7.8款〔暂停施工〕的约定执行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6.1.2 安全生产保证措施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承包人应当按照有关规定编制安全技术措施或者专项施工方案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建立安全生产责任制度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治安保卫制度及安全生产教育培训制度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并按安全生产法律规定及合同约定履行安全职责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如实编制工程安全生产的有关记录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接受发包人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监理人及政府安全监督部门的检查与监督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6.1.3 特别安全生产事项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承包人应按照法律规定进行施工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开工前做好安全技术交底工作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施工过程中做好各项安全防护措施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承包人为实施合同而雇用的特殊工种的人员应受过专门的培训并已取得政府有关管理机构颁发的上岗证书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承包人在动力设备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输电线路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地下管道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密封防震车间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易燃易爆地段以及临街交通要道附近施工时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施工开始前应向发包人和监理人提出安全防护措施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经发包人认可后实施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实施爆破作业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在放射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毒害性环境中施工（含储存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运输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使用）及使用毒害性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腐蚀性物品施工时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承包人应在施工前7天以书面通知发包人和监理人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并报送相应的安全防护措施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经发包人认可后实施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需单独编制危险性较大分部分项专项工程施工方案的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及要求进行专家论证的超过一定规模的危险性较大的分部分项工程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承包人应及时编制和组织论证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6.1.4 治安保卫</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发包人应与当地公安部门协商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在现场建立治安管理机构或联防组织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统一管理施工场地的治安保卫事项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履行合同工程的治安保卫职责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发包人和承包人除应协助现场治安管理机构或联防组织维护施工场地的社会治安外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还应做好包括生活区在内的各自管辖区的治安保卫工作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发包人和承包人应在工程开工后7天内共同编制施工场地治安管理计划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并制定应对突发治安事件的紧急预案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在工程施工过程中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发生暴乱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爆炸等恐怖事件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以及群殴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械斗等群体性突发治安事件的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发包人和承包人应立即向当地政府报告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发包人和承包人应积极协助当地有关部门采取措施平息事态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防止事态扩大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尽量避免人员伤亡和财产损失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6.1.5 文明施工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承包人在工程施工期间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应当采取措施保持施工现场平整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物料堆放整齐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工程所在地有关政府行政管理部门有特殊要求的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按照其要求执行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合同当事人对文明施工有其他要求的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可以在专用合同条款中明确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在工程移交之前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承包人应当从施工现场清除承包人的全部工程设备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多余材料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垃圾和各种临时工程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并保持施工现场清洁整齐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承包人可在发包人指定的地点保留承包人履行保修期内的各项义务所需要的材料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施工设备和临时工程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6.1.6 安全文明施工费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安全文明施工费由发包人承担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发包人不得以任何形式扣减该部分费用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因基准日期后合同所适用的法律或政府有关规定发生变化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增加的安全文明施工费由发包人承担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承包人经发包人同意采取合同约定以外的安全措施所产生的费用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未经发包人同意的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如果该措施避免了发包人的损失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则发包人在避免损失的额度内承担该措施费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如果该措施避免了承包人的损失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由承包人承担该措施费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发包人应在开工后28天内预付安全文明施工费总额的50%</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其余部分与进度款同期支付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发包人逾期支付安全文明施工费超过7天的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承包人有权向发包人发出要求预付的催告通知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发包人收到通知后7天内仍未支付的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承包人有权暂停施工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并按第16.1.1项〔发包人违约的情形〕执行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承包人对安全文明施工费应专款专用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承包人应在财务账目中单独列项备查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不得挪作他用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否则发包人有权责令其限期改正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逾期未改正的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可以责令其暂停施工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6.1.7 紧急情况处理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在工程实施期间或缺陷责任期内发生危及工程安全的事件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监理人通知承包人进行抢救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承包人声明无能力或不愿立即执行的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发包人有权雇佣其他人员进行抢救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此类抢救按合同约定属于承包人义务的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6.1.8 事故处理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工程施工过程中发生事故的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承包人应立即通知监理人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监理人应立即通知发包人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发包人和承包人应立即组织人员和设备进行紧急抢救和抢修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减少人员伤亡和财产损失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防止事故扩大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并保护事故现场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需要移动现场物品时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应作出标记和书面记录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妥善保管有关证据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发包人和承包人应按国家有关规定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及时如实地向有关部门报告事故发生的情况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以及正在采取的紧急措施等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6.1.9 安全生产责任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6.1.9.1 发包人的安全责任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发包人应负责赔偿以下各种情况造成的损失：</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（1）工程或工程的任何部分对土地的占用所造成的第三者财产损失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（2）由于发包人原因在施工场地及其毗邻地带造成的第三者人身伤亡和财产损失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（3）由于发包人原因对承包人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监理人造成的人员人身伤亡和财产损失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（4）由于发包人原因造成的发包人自身人员的人身伤害以及财产损失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6.1.9.2 承包人的安全责任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由于承包人原因在施工场地内及其毗邻地带造成的发包人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监理人以及第三者人员伤亡和财产损失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由承包人负责赔偿</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26" w:name="_Toc311"/>
      <w:bookmarkStart w:id="127" w:name="_Toc1460"/>
      <w:r>
        <w:rPr>
          <w:rFonts w:hint="eastAsia" w:ascii="宋体" w:hAnsi="宋体" w:eastAsia="宋体" w:cs="宋体"/>
          <w:spacing w:val="14"/>
          <w:sz w:val="24"/>
          <w:szCs w:val="24"/>
        </w:rPr>
        <w:t>6.2 职业健康</w:t>
      </w:r>
      <w:bookmarkEnd w:id="126"/>
      <w:bookmarkEnd w:id="12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6.2.1 劳动保护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承包人应按照法律规定安排现场施工人员的劳动和休息时间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保障劳动者的休息时间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并支付合理的报酬和费用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承包人应依法为其履行合同所雇用的人员办理必要的证件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许可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保险和注册等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承包人应督促其分包人为分包人所雇用的人员办理必要的证件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许可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保险和注册等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承包人应按照法律规定保障现场施工人员的劳动安全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并提供劳动保护,并应按国家有关劳动保护的规定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采取有效的防止粉尘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降低噪声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控制有害气体和保障高温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高寒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高空作业安全等劳动保护措施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承包人雇佣人员在施工中受到伤害的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承包人应立即采取有效措施进行抢救和治疗</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承包人应按法律规定安排工作时间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保证其雇佣人员享有休息和休假的权利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因工程施工的特殊需要占用休假日或延长工作时间的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应不超过法律规定的限度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并按法律规定给予补休或付酬</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6.2.2 生活条件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承包人应为其履行合同所雇用的人员提供必要的膳宿条件和生活环境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承包人应采取有效措施预防传染病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保证施工人员的健康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并定期对施工现场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施工人员生活基地和工程进行防疫和卫生的专业检查和处理, 在远离城镇的施工场地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还应配备必要的伤病防治和急救的医务人员与医疗设施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28" w:name="_Toc14144"/>
      <w:bookmarkStart w:id="129" w:name="_Toc3238"/>
      <w:r>
        <w:rPr>
          <w:rFonts w:hint="eastAsia" w:ascii="宋体" w:hAnsi="宋体" w:eastAsia="宋体" w:cs="宋体"/>
          <w:spacing w:val="14"/>
          <w:sz w:val="24"/>
          <w:szCs w:val="24"/>
        </w:rPr>
        <w:t>6.3 环境保护</w:t>
      </w:r>
      <w:bookmarkEnd w:id="128"/>
      <w:bookmarkEnd w:id="12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承包人应在施工组织设计中列明环境保护的具体措施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在合同履行期间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承包人应采取合理措施保护施工现场环境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对施工作业过程中可能引起的大气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噪音以及固体废物污染采取具体可行的防范措施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承包人应当承担因其原因引起的环境污染侵权损害赔偿责任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因上述环境污染引起纠纷而导致暂停施工的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30" w:name="_Toc23287"/>
      <w:bookmarkStart w:id="131" w:name="_Toc17428"/>
      <w:r>
        <w:rPr>
          <w:rFonts w:hint="eastAsia" w:ascii="宋体" w:hAnsi="宋体" w:eastAsia="宋体" w:cs="宋体"/>
          <w:spacing w:val="14"/>
          <w:sz w:val="24"/>
          <w:szCs w:val="24"/>
        </w:rPr>
        <w:t>7. 工期和进度</w:t>
      </w:r>
      <w:bookmarkEnd w:id="130"/>
      <w:bookmarkEnd w:id="13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32" w:name="_Toc4653"/>
      <w:bookmarkStart w:id="133" w:name="_Toc16145"/>
      <w:r>
        <w:rPr>
          <w:rFonts w:hint="eastAsia" w:ascii="宋体" w:hAnsi="宋体" w:eastAsia="宋体" w:cs="宋体"/>
          <w:spacing w:val="14"/>
          <w:sz w:val="24"/>
          <w:szCs w:val="24"/>
        </w:rPr>
        <w:t>7.1施工组织设计</w:t>
      </w:r>
      <w:bookmarkEnd w:id="132"/>
      <w:bookmarkEnd w:id="13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7.1.1 施工组织设计的内容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施工组织设计应包含以下内容：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（1）施工方案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（2）施工现场平面布置图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（3）施工进度计划和保证措施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（4）劳动力及材料供应计划</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（5）施工机械设备的选用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（6）质量保证体系及措施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（7）安全生产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文明施工措施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（8）环境保护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成本控制措施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（9）合同当事人约定的其他内容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7.1.2 施工组织设计的提交和修改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承包人应在合同签订后14天内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但至迟不得晚于第7.3.2项〔开工通知〕载明的开工日期前7天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向监理人提交详细的施工组织设计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并由监理人报送发包人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发包人和监理人应在监理人收到施工组织设计后7天内确认或提出修改意见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对发包人和监理人提出的合理意见和要求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承包人应自费修改完善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根据工程实际情况需要修改施工组织设计的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承包人应向发包人和监理人提交修改后的施工组织设计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施工进度计划的编制和修改按照第7.2款〔施工进度计划〕执行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34" w:name="_Toc32553"/>
      <w:bookmarkStart w:id="135" w:name="_Toc758"/>
      <w:r>
        <w:rPr>
          <w:rFonts w:hint="eastAsia" w:ascii="宋体" w:hAnsi="宋体" w:eastAsia="宋体" w:cs="宋体"/>
          <w:spacing w:val="14"/>
          <w:sz w:val="24"/>
          <w:szCs w:val="24"/>
        </w:rPr>
        <w:t>7.2 施工进度计划</w:t>
      </w:r>
      <w:bookmarkEnd w:id="134"/>
      <w:bookmarkEnd w:id="13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7.2.1 施工进度计划的编制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承包人应按照第7.1款〔施工组织设计〕约定提交详细的施工进度计划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施工进度计划的编制应当符合国家法律规定和一般工程实践惯例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施工进度计划经发包人批准后实施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施工进度计划是控制工程进度的依据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发包人和监理人有权按照施工进度计划检查工程进度情况</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7.2.2 施工进度计划的修订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施工进度计划不符合合同要求或与工程的实际进度不一致的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承包人应向监理人提交修订的施工进度计划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并附具有关措施和相关资料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发包人和监理人应在收到修订的施工进度计划后7天内完成审核和批准或提出修改意见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发包人和监理人对承包人提交的施工进度计划的确认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不能减轻或免除承包人根据法律规定和合同约定应承担的任何责任或义务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36" w:name="_Toc21770"/>
      <w:bookmarkStart w:id="137" w:name="_Toc3290"/>
      <w:r>
        <w:rPr>
          <w:rFonts w:hint="eastAsia" w:ascii="宋体" w:hAnsi="宋体" w:eastAsia="宋体" w:cs="宋体"/>
          <w:spacing w:val="14"/>
          <w:sz w:val="24"/>
          <w:szCs w:val="24"/>
        </w:rPr>
        <w:t>7.3 开工</w:t>
      </w:r>
      <w:bookmarkEnd w:id="136"/>
      <w:bookmarkEnd w:id="13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7.3.1 开工准备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承包人应按照第7.1款〔施工组织设计〕约定的期限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向监理人提交工程开工报审表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经监理人报发包人批准后执行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开工报审表应详细说明按施工进度计划正常施工所需的施工道路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临时设施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施工人员等落实情况以及工程的进度安排</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合同当事人应按约定完成开工准备工作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7.3.2 开工通知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发包人应按照法律规定获得工程施工所需的许可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经发包人同意后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监理人发出的开工通知应符合法律规定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监理人应在计划开工日期7天前向承包人发出开工通知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工期自开工通知中载明的开工日期起算</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因发包人原因造成监理人未能在计划开工日期之日起90天内发出开工通知的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承包人有权提出价格调整要求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或者解除合同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发包人应当承担由此增加的费用和（或）延误的工期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并向承包人支付合理利润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38" w:name="_Toc15330"/>
      <w:bookmarkStart w:id="139" w:name="_Toc21721"/>
      <w:r>
        <w:rPr>
          <w:rFonts w:hint="eastAsia" w:ascii="宋体" w:hAnsi="宋体" w:eastAsia="宋体" w:cs="宋体"/>
          <w:spacing w:val="14"/>
          <w:sz w:val="24"/>
          <w:szCs w:val="24"/>
        </w:rPr>
        <w:t>7.4测量放线</w:t>
      </w:r>
      <w:bookmarkEnd w:id="138"/>
      <w:bookmarkEnd w:id="13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7.4.1 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发包人应在至迟不得晚于第7.3.2项〔开工通知〕载明的开工日期前7天通过监理人向承包人提供测量基准点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基准线和水准点及其书面资料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发包人应对其提供的测量基准点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基准线和水准点及其书面资料的真实性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准确性和完整性负责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承包人发现发包人提供的测量基准点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基准线和水准点及其书面资料存在错误或疏漏的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应及时通知监理人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监理人应及时报告发包人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并会同发包人和承包人予以核实</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发包人应就如何处理和是否继续施工作出决定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并通知监理人和承包人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7.4.2 承包人负责施工过程中的全部施工测量放线工作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并配置具有相应资质的人员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合格的仪器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设备和其他物品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承包人应矫正工程的位置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标高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尺寸或准线中出现的任何差错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并对工程各部分的定位负责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施工过程中对施工现场内水准点等测量标志物的保护工作由承包人负责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40" w:name="_Toc8291"/>
      <w:bookmarkStart w:id="141" w:name="_Toc2377"/>
      <w:r>
        <w:rPr>
          <w:rFonts w:hint="eastAsia" w:ascii="宋体" w:hAnsi="宋体" w:eastAsia="宋体" w:cs="宋体"/>
          <w:spacing w:val="14"/>
          <w:sz w:val="24"/>
          <w:szCs w:val="24"/>
        </w:rPr>
        <w:t>7.5 工期延误</w:t>
      </w:r>
      <w:bookmarkEnd w:id="140"/>
      <w:bookmarkEnd w:id="14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7.5.1 因发包人原因导致工期延误</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在合同履行过程中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因下列情况导致工期延误和（或）费用增加的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由发包人承担由此延误的工期和（或）增加的费用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且发包人应支付承包人合理的利润：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（1）发包人未能按合同约定提供图纸或所提供图纸不符合合同约定的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（2）发包人未能按合同约定提供施工现场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基础资料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许可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批准等开工条件的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（3）发包人提供的测量基准点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基准线和水准点及其书面资料存在错误或疏漏的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（4）发包人未能在计划开工日期之日起7天内同意下达开工通知的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（5）发包人未能按合同约定日期支付工程预付款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进度款或竣工结算款的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（6）监理人未按合同约定发出指示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批准等文件的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（7）专用合同条款中约定的其他情形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因发包人原因未按计划开工日期开工的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发包人应按实际开工日期顺延竣工日期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确保实际工期不低于合同约定的工期总日历天数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因发包人原因导致工期延误需要修订施工进度计划的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按照第7.2.2项〔施工进度计划的修订〕执行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7.5.2 因承包人原因导致工期延误</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因承包人原因造成工期延误的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可以在专用合同条款中约定逾期竣工违约金的计算方法和逾期竣工违约金的上限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承包人支付逾期竣工违约金后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不免除承包人继续完成工程及修补缺陷的义务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42" w:name="_Toc26573"/>
      <w:bookmarkStart w:id="143" w:name="_Toc22276"/>
      <w:r>
        <w:rPr>
          <w:rFonts w:hint="eastAsia" w:ascii="宋体" w:hAnsi="宋体" w:eastAsia="宋体" w:cs="宋体"/>
          <w:spacing w:val="14"/>
          <w:sz w:val="24"/>
          <w:szCs w:val="24"/>
        </w:rPr>
        <w:t>7.6 不利物质条件</w:t>
      </w:r>
      <w:bookmarkEnd w:id="142"/>
      <w:bookmarkEnd w:id="14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不利物质条件是指有经验的承包人在施工现场遇到的不可预见的自然物质条件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非自然的物质障碍和污染物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包括地表以下物质条件和水文条件以及专用合同条款约定的其他情形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但不包括气候条件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承包人遇到不利物质条件时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应采取克服不利物质条件的合理措施继续施工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并及时通知发包人和监理人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通知应载明不利物质条件的内容以及承包人认为不可预见的理由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监理人经发包人同意后应当及时发出指示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指示构成变更的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按第10条〔变更〕约定执行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承包人因采取合理措施而增加的费用和（或）延误的工期由发包人承担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44" w:name="_Toc7141"/>
      <w:bookmarkStart w:id="145" w:name="_Toc21113"/>
      <w:r>
        <w:rPr>
          <w:rFonts w:hint="eastAsia" w:ascii="宋体" w:hAnsi="宋体" w:eastAsia="宋体" w:cs="宋体"/>
          <w:spacing w:val="14"/>
          <w:sz w:val="24"/>
          <w:szCs w:val="24"/>
        </w:rPr>
        <w:t>7.7 异常恶劣的气候条件</w:t>
      </w:r>
      <w:bookmarkEnd w:id="144"/>
      <w:bookmarkEnd w:id="14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异常恶劣的气候条件是指在施工过程中遇到的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有经验的承包人在签订合同时不可预见的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对合同履行造成实质性影响的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但尚未构成不可抗力事件的恶劣气候条件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合同当事人可以在专用合同条款中约定异常恶劣的气候条件的具体情形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承包人应采取克服异常恶劣的气候条件的合理措施继续施工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并及时通知发包人和监理人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监理人经发包人同意后应当及时发出指示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指示构成变更的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按第10条〔变更〕约定办理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承包人因采取合理措施而增加的费用和（或）延误的工期由发包人承担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46" w:name="_Toc4961"/>
      <w:bookmarkStart w:id="147" w:name="_Toc21180"/>
      <w:r>
        <w:rPr>
          <w:rFonts w:hint="eastAsia" w:ascii="宋体" w:hAnsi="宋体" w:eastAsia="宋体" w:cs="宋体"/>
          <w:spacing w:val="14"/>
          <w:sz w:val="24"/>
          <w:szCs w:val="24"/>
        </w:rPr>
        <w:t>7.8 暂停施工</w:t>
      </w:r>
      <w:bookmarkEnd w:id="146"/>
      <w:bookmarkEnd w:id="14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7.8.1发包人原因引起的暂停施工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因发包人原因引起暂停施工的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监理人经发包人同意后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应及时下达暂停施工指示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情况紧急且监理人未及时下达暂停施工指示的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按照第7.8.4项〔紧急情况下的暂停施工〕执行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因发包人原因引起的暂停施工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发包人应承担由此增加的费用和（或）延误的工期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7.8.2 承包人原因引起的暂停施工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因承包人原因引起的暂停施工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承包人应承担由此增加的费用和（或）延误的工期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且承包人在收到监理人复工指示后84天内仍未复工的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视为第16.2.1项〔承包人违约的情形〕第（7）目约定的承包人无法继续履行合同的情形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7.8.3 指示暂停施工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监理人认为有必要时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并经发包人批准后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可向承包人作出暂停施工的指示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承包人应按监理人指示暂停施工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7.8.4 紧急情况下的暂停施工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因紧急情况需暂停施工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且监理人未及时下达暂停施工指示的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承包人可先暂停施工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并及时通知监理人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监理人应在接到通知后24小时内发出指示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逾期未发出指示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视为同意承包人暂停施工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监理人不同意承包人暂停施工的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应说明理由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承包人对监理人的答复有异议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按照第20条〔争议解决〕约定处理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7.8.5 暂停施工后的复工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暂停施工后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发包人和承包人应采取有效措施积极消除暂停施工的影响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在工程复工前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监理人会同发包人和承包人确定因暂停施工造成的损失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并确定工程复工条件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当工程具备复工条件时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监理人应经发包人批准后向承包人发出复工通知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承包人应按照复工通知要求复工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承包人无故拖延和拒绝复工的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承包人承担由此增加的费用和（或）延误的工期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因发包人原因无法按时复工的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按照第7.5.1项〔因发包人原因导致工期延误〕约定办理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7.8.6 暂停施工持续56天以上</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监理人发出暂停施工指示后56天内未向承包人发出复工通知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除该项停工属于第7.8.2项〔承包人原因引起的暂停施工〕及第17条〔不可抗力〕约定的情形外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承包人可向发包人提交书面通知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要求发包人在收到书面通知后28天内准许已暂停施工的部分或全部工程继续施工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发包人逾期不予批准的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则承包人可以通知发包人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将工程受影响的部分视为按第10.1款〔变更的范围〕第（2）项的可取消工作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暂停施工持续84天以上不复工的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且不属于第7.8.2项〔承包人原因引起的暂停施工〕及第17条〔不可抗力〕约定的情形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并影响到整个工程以及合同目的实现的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承包人有权提出价格调整要求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或者解除合同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解除合同的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按照第16.1.3项〔因发包人违约解除合同〕执行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7.8.7 暂停施工期间的工程照管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暂停施工期间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承包人应负责妥善照管工程并提供安全保障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由此增加的费用由责任方承担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7.8.8 暂停施工的措施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暂停施工期间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发包人和承包人均应采取必要的措施确保工程质量及安全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防止因暂停施工扩大损失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48" w:name="_Toc22604"/>
      <w:bookmarkStart w:id="149" w:name="_Toc6462"/>
      <w:r>
        <w:rPr>
          <w:rFonts w:hint="eastAsia" w:ascii="宋体" w:hAnsi="宋体" w:eastAsia="宋体" w:cs="宋体"/>
          <w:spacing w:val="14"/>
          <w:sz w:val="24"/>
          <w:szCs w:val="24"/>
        </w:rPr>
        <w:t>7.9提前竣工</w:t>
      </w:r>
      <w:bookmarkEnd w:id="148"/>
      <w:bookmarkEnd w:id="14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7.9.1 发包人要求承包人提前竣工的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发包人应通过监理人向承包人下达提前竣工指示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承包人应向发包人和监理人提交提前竣工建议书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提前竣工建议书应包括实施的方案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缩短的时间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增加的合同价格等内容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发包人接受该提前竣工建议书的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监理人应与发包人和承包人协商采取加快工程进度的措施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并修订施工进度计划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承包人认为提前竣工指示无法执行的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应向监理人和发包人提出书面异议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发包人和监理人应在收到异议后7天内予以答复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任何情况下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发包人不得压缩合理工期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7.9.2 发包人要求承包人提前竣工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或承包人提出提前竣工的建议能够给发包人带来效益的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合同当事人可以在专用合同条款中约定提前竣工的奖励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50" w:name="_Toc18088"/>
      <w:bookmarkStart w:id="151" w:name="_Toc7940"/>
      <w:r>
        <w:rPr>
          <w:rFonts w:hint="eastAsia" w:ascii="宋体" w:hAnsi="宋体" w:eastAsia="宋体" w:cs="宋体"/>
          <w:spacing w:val="14"/>
          <w:sz w:val="24"/>
          <w:szCs w:val="24"/>
        </w:rPr>
        <w:t>8. 材料与设备</w:t>
      </w:r>
      <w:bookmarkEnd w:id="150"/>
      <w:bookmarkEnd w:id="15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52" w:name="_Toc17746"/>
      <w:bookmarkStart w:id="153" w:name="_Toc13723"/>
      <w:r>
        <w:rPr>
          <w:rFonts w:hint="eastAsia" w:ascii="宋体" w:hAnsi="宋体" w:eastAsia="宋体" w:cs="宋体"/>
          <w:spacing w:val="14"/>
          <w:sz w:val="24"/>
          <w:szCs w:val="24"/>
        </w:rPr>
        <w:t>8.1发包人供应材料与工程设备</w:t>
      </w:r>
      <w:bookmarkEnd w:id="152"/>
      <w:bookmarkEnd w:id="15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发包人自行供应材料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应在签订合同时在专用合同条款的附件《发包人供应材料设备一览表》中明确材料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工程设备的品种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型号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数量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单价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质量等级和送达地点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承包人应提前30天通过监理人以书面形式通知发包人供应材料与工程设备进场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承包人按照第7.2.2项〔施工进度计划的修订〕约定修订施工进度计划时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需同时提交经修订后的发包人供应材料与工程设备的进场计划</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54" w:name="_Toc8437"/>
      <w:bookmarkStart w:id="155" w:name="_Toc9885"/>
      <w:r>
        <w:rPr>
          <w:rFonts w:hint="eastAsia" w:ascii="宋体" w:hAnsi="宋体" w:eastAsia="宋体" w:cs="宋体"/>
          <w:spacing w:val="14"/>
          <w:sz w:val="24"/>
          <w:szCs w:val="24"/>
        </w:rPr>
        <w:t>8.2承包人采购材料与工程设备</w:t>
      </w:r>
      <w:bookmarkEnd w:id="154"/>
      <w:bookmarkEnd w:id="15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承包人负责采购材料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应按照设计和有关标准要求采购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并提供产品合格证明及出厂证明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工程设备质量负责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合同约定由承包人采购的材料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发包人不得指定生产厂家或供应商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发包人违反本款约定指定生产厂家或供应商的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承包人有权拒绝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并由发包人承担相应责任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56" w:name="_Toc28601"/>
      <w:bookmarkStart w:id="157" w:name="_Toc10393"/>
      <w:r>
        <w:rPr>
          <w:rFonts w:hint="eastAsia" w:ascii="宋体" w:hAnsi="宋体" w:eastAsia="宋体" w:cs="宋体"/>
          <w:spacing w:val="14"/>
          <w:sz w:val="24"/>
          <w:szCs w:val="24"/>
        </w:rPr>
        <w:t>8.3材料与工程设备的接收与拒收</w:t>
      </w:r>
      <w:bookmarkEnd w:id="156"/>
      <w:bookmarkEnd w:id="15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8.3.1 发包人应按《发包人供应材料设备一览表》约定的内容提供材料和工程设备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并向承包人提供产品合格证明及出厂证明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对其质量负责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发包人应提前24小时以书面形式通知承包人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监理人材料和工程设备到货时间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承包人负责材料和工程设备的清点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检验和接收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发包人提供的材料和工程设备的规格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数量或质量不符合合同约定的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或因发包人原因导致交货日期延误或交货地点变更等情况的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按照第16.1款〔发包人违约〕约定办理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8.3.2 承包人采购的材料和工程设备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应保证产品质量合格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承包人应在材料和工程设备到货前24小时通知监理人检验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承包人进行永久设备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材料的制造和生产的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应符合相关质量标准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并向监理人提交材料的样本以及有关资料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并应在使用该材料或工程设备之前获得监理人同意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承包人采购的材料和工程设备不符合设计或有关标准要求时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承包人应在监理人要求的合理期限内将不符合设计或有关标准要求的材料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工程设备运出施工现场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并重新采购符合要求的材料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58" w:name="_Toc28533"/>
      <w:bookmarkStart w:id="159" w:name="_Toc32492"/>
      <w:r>
        <w:rPr>
          <w:rFonts w:hint="eastAsia" w:ascii="宋体" w:hAnsi="宋体" w:eastAsia="宋体" w:cs="宋体"/>
          <w:spacing w:val="14"/>
          <w:sz w:val="24"/>
          <w:szCs w:val="24"/>
        </w:rPr>
        <w:t>8.4材料与工程设备的保管与使用</w:t>
      </w:r>
      <w:bookmarkEnd w:id="158"/>
      <w:bookmarkEnd w:id="15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8.4.1 发包人供应材料与工程设备的保管与使用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发包人供应的材料和工程设备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承包人清点后由承包人妥善保管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保管费用由发包人承担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但已标价工程量清单或预算书已经列支或专用合同条款另有约定除外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因承包人原因发生丢失毁损的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由承包人负责赔偿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监理人未通知承包人清点的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承包人不负责材料和工程设备的保管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由此导致丢失毁损的由发包人负责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发包人供应的材料和工程设备使用前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由承包人负责检验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检验费用由发包人承担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不合格的不得使用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8.4.2 承包人采购材料与工程设备的保管与使用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承包人采购的材料和工程设备由承包人妥善保管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保管费用由承包人承担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法律规定材料和工程设备使用前必须进行检验或试验的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承包人应按监理人的要求进行检验或试验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检验或试验费用由承包人承担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不合格的不得使用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发包人或监理人发现承包人使用不符合设计或有关标准要求的材料和工程设备时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有权要求承包人进行修复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拆除或重新采购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60" w:name="_Toc14643"/>
      <w:bookmarkStart w:id="161" w:name="_Toc5358"/>
      <w:r>
        <w:rPr>
          <w:rFonts w:hint="eastAsia" w:ascii="宋体" w:hAnsi="宋体" w:eastAsia="宋体" w:cs="宋体"/>
          <w:spacing w:val="14"/>
          <w:sz w:val="24"/>
          <w:szCs w:val="24"/>
        </w:rPr>
        <w:t>8.5禁止使用不合格的材料和工程设备</w:t>
      </w:r>
      <w:bookmarkEnd w:id="160"/>
      <w:bookmarkEnd w:id="16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8.5.1 监理人有权拒绝承包人提供的不合格材料或工程设备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并要求承包人立即进行更换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监理人应在更换后再次进行检查和检验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8.5.2 监理人发现承包人使用了不合格的材料和工程设备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承包人应按照监理人的指示立即改正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并禁止在工程中继续使用不合格的材料和工程设备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8.5.3 发包人提供的材料或工程设备不符合合同要求的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承包人有权拒绝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并可要求发包人更换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62" w:name="_Toc6646"/>
      <w:bookmarkStart w:id="163" w:name="_Toc16008"/>
      <w:r>
        <w:rPr>
          <w:rFonts w:hint="eastAsia" w:ascii="宋体" w:hAnsi="宋体" w:eastAsia="宋体" w:cs="宋体"/>
          <w:spacing w:val="14"/>
          <w:sz w:val="24"/>
          <w:szCs w:val="24"/>
        </w:rPr>
        <w:t>8.6 样品</w:t>
      </w:r>
      <w:bookmarkEnd w:id="162"/>
      <w:bookmarkEnd w:id="16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8.6.1</w:t>
      </w:r>
      <w:r>
        <w:rPr>
          <w:rFonts w:hint="eastAsia" w:ascii="宋体" w:hAnsi="宋体" w:eastAsia="宋体" w:cs="宋体"/>
          <w:spacing w:val="14"/>
          <w:sz w:val="24"/>
          <w:szCs w:val="24"/>
          <w:lang w:val="en-US" w:eastAsia="zh-CN"/>
        </w:rPr>
        <w:t xml:space="preserve"> </w:t>
      </w:r>
      <w:r>
        <w:rPr>
          <w:rFonts w:hint="eastAsia" w:ascii="宋体" w:hAnsi="宋体" w:eastAsia="宋体" w:cs="宋体"/>
          <w:spacing w:val="14"/>
          <w:sz w:val="24"/>
          <w:szCs w:val="24"/>
        </w:rPr>
        <w:t>样品的报送与封存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需要承包人报送样品的材料或工程设备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样品的种类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名称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数量等要求均应在专用合同条款中约定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样品的报送程序如下：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（1）承包人应在计划采购前28天向监理人报送样品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承包人报送的样品均应来自供应材料的实际生产地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且提供的样品的规格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数量足以表明材料或工程设备的质量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型号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颜色</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表面处理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误差和其他要求的特征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（2）承包人每次报送样品时应随附申报单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申报单应载明报送样品的相关数据和资料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并标明每件样品对应的图纸号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预留监理人批复意见栏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监理人应在收到承包人报送的样品后7天向承包人回复经发包人签认的样品审批意见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（3）经发包人和监理人审批确认的样品应按约定的方法封样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封存的样品作为检验工程相关部分的标准之一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承包人在施工过程中不得使用与样品不符的材料或工程设备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（4）发包人和监理人对样品的审批确认仅为确认相关材料或工程设备的特征或用途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不得被理解为对合同的修改或改变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也并不减轻或免除承包人任何的责任和义务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如果封存的样品修改或改变了合同约定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合同当事人应当以书面协议予以确认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8.6.2 样品的保管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经批准的样品应由监理人负责封存于现场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承包人应在现场为保存样品提供适当和固定的场所并保持适当和良好的存储环境条件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64" w:name="_Toc7051"/>
      <w:bookmarkStart w:id="165" w:name="_Toc13033"/>
      <w:r>
        <w:rPr>
          <w:rFonts w:hint="eastAsia" w:ascii="宋体" w:hAnsi="宋体" w:eastAsia="宋体" w:cs="宋体"/>
          <w:spacing w:val="14"/>
          <w:sz w:val="24"/>
          <w:szCs w:val="24"/>
        </w:rPr>
        <w:t>8.7材料与工程设备的替代</w:t>
      </w:r>
      <w:bookmarkEnd w:id="164"/>
      <w:bookmarkEnd w:id="16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8.7.1 出现下列情况需要使用替代材料和工程设备的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承包人应按照第8.7.2项约定的程序执行：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（1）基准日期后生效的法律规定禁止使用的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（2）发包人要求使用替代品的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（3）因其他原因必须使用替代品的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8.7.2 承包人应在使用替代材料和工程设备28天前书面通知监理人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并附下列文件：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（1）被替代的材料和工程设备的名称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数量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型号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品牌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性能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价格及其他相关资料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（2）替代品的名称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数量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型号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品牌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性能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价格及其他相关资料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（3）替代品与被替代产品之间的差异以及使用替代品可能对工程产生的影响</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（4）替代品与被替代产品的价格差异</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（5）使用替代品的理由和原因说明</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（6）监理人要求的其他文件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监理人应在收到通知后14天内向承包人发出经发包人签认的书面指示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监理人逾期发出书面指示的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视为发包人和监理人同意使用替代品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8.7.3 发包人认可使用替代材料和工程设备的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替代材料和工程设备的价格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按照已标价工程量清单或预算书相同项目的价格认定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无相同项目的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参考相似项目价格认定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既无相同项目也无相似项目的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按照合理的成本与利润构成的原则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由合同当事人按照第4.4款〔商定或确定〕确定价格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66" w:name="_Toc24830"/>
      <w:bookmarkStart w:id="167" w:name="_Toc5833"/>
      <w:r>
        <w:rPr>
          <w:rFonts w:hint="eastAsia" w:ascii="宋体" w:hAnsi="宋体" w:eastAsia="宋体" w:cs="宋体"/>
          <w:spacing w:val="14"/>
          <w:sz w:val="24"/>
          <w:szCs w:val="24"/>
        </w:rPr>
        <w:t>8.8施工设备和临时设施</w:t>
      </w:r>
      <w:bookmarkEnd w:id="166"/>
      <w:bookmarkEnd w:id="16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8.8.1 承包人提供的施工设备和临时设施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承包人应按合同进度计划的要求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及时配置施工设备和修建临时设施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进入施工场地的承包人设备需经监理人核查后才能投入使用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承包人更换合同约定的承包人设备的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应报监理人批准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承包人应自行承担修建临时设施的费用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需要临时占地的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应由发包人办理申请手续并承担相应费用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8.8.2发包人提供的施工设备和临时设施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发包人提供的施工设备或临时设施在专用合同条款中约定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8.8.3要求承包人增加或更换施工设备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承包人使用的施工设备不能满足合同进度计划和（或）质量要求时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监理人有权要求承包人增加或更换施工设备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承包人应及时增加或更换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68" w:name="_Toc32177"/>
      <w:bookmarkStart w:id="169" w:name="_Toc32099"/>
      <w:r>
        <w:rPr>
          <w:rFonts w:hint="eastAsia" w:ascii="宋体" w:hAnsi="宋体" w:eastAsia="宋体" w:cs="宋体"/>
          <w:spacing w:val="14"/>
          <w:sz w:val="24"/>
          <w:szCs w:val="24"/>
        </w:rPr>
        <w:t>8.9材料与设备专用要求</w:t>
      </w:r>
      <w:bookmarkEnd w:id="168"/>
      <w:bookmarkEnd w:id="16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承包人运入施工现场的材料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施工设备以及在施工场地建设的临时设施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包括备品备件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安装工具与资料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必须专用于工程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未经发包人批准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承包人不得运出施工现场或挪作他用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承包人可以根据施工进度计划撤走闲置的施工设备和其他物品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70" w:name="_Toc30033"/>
      <w:bookmarkStart w:id="171" w:name="_Toc7014"/>
      <w:r>
        <w:rPr>
          <w:rFonts w:hint="eastAsia" w:ascii="宋体" w:hAnsi="宋体" w:eastAsia="宋体" w:cs="宋体"/>
          <w:spacing w:val="14"/>
          <w:sz w:val="24"/>
          <w:szCs w:val="24"/>
        </w:rPr>
        <w:t>9. 试验与检验</w:t>
      </w:r>
      <w:bookmarkEnd w:id="170"/>
      <w:bookmarkEnd w:id="17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72" w:name="_Toc31610"/>
      <w:bookmarkStart w:id="173" w:name="_Toc7579"/>
      <w:r>
        <w:rPr>
          <w:rFonts w:hint="eastAsia" w:ascii="宋体" w:hAnsi="宋体" w:eastAsia="宋体" w:cs="宋体"/>
          <w:spacing w:val="14"/>
          <w:sz w:val="24"/>
          <w:szCs w:val="24"/>
        </w:rPr>
        <w:t>9.1试验设备与试验人员</w:t>
      </w:r>
      <w:bookmarkEnd w:id="172"/>
      <w:bookmarkEnd w:id="17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9.1.1 承包人根据合同约定或监理人指示进行的现场材料试验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应由承包人提供试验场所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试验人员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试验设备以及其他必要的试验条件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监理人在必要时可以使用承包人提供的试验场所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试验设备以及其他试验条件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进行以工程质量检查为目的的材料复核试验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承包人应予以协助</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9.1.2 承包人应按专用合同条款的约定提供试验设备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取样装置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试验场所和试验条件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并向监理人提交相应进场计划表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承包人配置的试验设备要符合相应试验规程的要求并经过具有资质的检测单位检测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且在正式使用该试验设备前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需要经过监理人与承包人共同校定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9.1.3 承包人应向监理人提交试验人员的名单及其岗位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资格等证明资料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试验人员必须能够熟练进行相应的检测试验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承包人对试验人员的试验程序和试验结果的正确性负责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74" w:name="_Toc31407"/>
      <w:bookmarkStart w:id="175" w:name="_Toc12758"/>
      <w:r>
        <w:rPr>
          <w:rFonts w:hint="eastAsia" w:ascii="宋体" w:hAnsi="宋体" w:eastAsia="宋体" w:cs="宋体"/>
          <w:spacing w:val="14"/>
          <w:sz w:val="24"/>
          <w:szCs w:val="24"/>
        </w:rPr>
        <w:t>9.2取样</w:t>
      </w:r>
      <w:bookmarkEnd w:id="174"/>
      <w:bookmarkEnd w:id="17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试验属于自检性质的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承包人可以单独取样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试验属于监理人抽检性质的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可由监理人取样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也可由承包人的试验人员在监理人的监督下取样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76" w:name="_Toc15395"/>
      <w:bookmarkStart w:id="177" w:name="_Toc5964"/>
      <w:r>
        <w:rPr>
          <w:rFonts w:hint="eastAsia" w:ascii="宋体" w:hAnsi="宋体" w:eastAsia="宋体" w:cs="宋体"/>
          <w:spacing w:val="14"/>
          <w:sz w:val="24"/>
          <w:szCs w:val="24"/>
        </w:rPr>
        <w:t>9.3材料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工程设备和工程的试验和检验</w:t>
      </w:r>
      <w:bookmarkEnd w:id="176"/>
      <w:bookmarkEnd w:id="17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9.3.1承包人应按合同约定进行材料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工程设备和工程的试验和检验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并为监理人对上述材料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工程设备和工程的质量检查提供必要的试验资料和原始记录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按合同约定应由监理人与承包人共同进行试验和检验的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由承包人负责提供必要的试验资料和原始记录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9.3.2试验属于自检性质的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承包人可以单独进行试验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试验属于监理人抽检性质的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监理人可以单独进行试验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也可由承包人与监理人共同进行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承包人对由监理人单独进行的试验结果有异议的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可以申请重新共同进行试验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约定共同进行试验的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监理人未按照约定参加试验的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承包人可自行试验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并将试验结果报送监理人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监理人应承认该试验结果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9.3.3监理人对承包人的试验和检验结果有异议的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或为查清承包人试验和检验成果的可靠性要求承包人重新试验和检验的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可由监理人与承包人共同进行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重新试验和检验的结果证明该项材料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工程设备或工程的质量不符合合同要求的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重新试验和检验结果证明该项材料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工程设备和工程符合合同要求的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78" w:name="_Toc16779"/>
      <w:bookmarkStart w:id="179" w:name="_Toc17622"/>
      <w:r>
        <w:rPr>
          <w:rFonts w:hint="eastAsia" w:ascii="宋体" w:hAnsi="宋体" w:eastAsia="宋体" w:cs="宋体"/>
          <w:spacing w:val="14"/>
          <w:sz w:val="24"/>
          <w:szCs w:val="24"/>
        </w:rPr>
        <w:t>9.4现场工艺试验</w:t>
      </w:r>
      <w:bookmarkEnd w:id="178"/>
      <w:bookmarkEnd w:id="17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承包人应按合同约定或监理人指示进行现场工艺试验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对大型的现场工艺试验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监理人认为必要时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承包人应根据监理人提出的工艺试验要求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编制工艺试验措施计划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报送监理人审查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180" w:name="_Toc5451"/>
      <w:bookmarkStart w:id="181" w:name="_Toc32535"/>
      <w:r>
        <w:rPr>
          <w:rFonts w:hint="eastAsia" w:ascii="宋体" w:hAnsi="宋体" w:eastAsia="宋体" w:cs="宋体"/>
          <w:spacing w:val="14"/>
          <w:sz w:val="24"/>
          <w:szCs w:val="24"/>
        </w:rPr>
        <w:t>10. 变更</w:t>
      </w:r>
      <w:bookmarkEnd w:id="180"/>
      <w:bookmarkEnd w:id="18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82" w:name="_Toc27929"/>
      <w:bookmarkStart w:id="183" w:name="_Toc12068"/>
      <w:r>
        <w:rPr>
          <w:rFonts w:hint="eastAsia" w:ascii="宋体" w:hAnsi="宋体" w:eastAsia="宋体" w:cs="宋体"/>
          <w:spacing w:val="14"/>
          <w:sz w:val="24"/>
          <w:szCs w:val="24"/>
        </w:rPr>
        <w:t>10.1变更的范围</w:t>
      </w:r>
      <w:bookmarkEnd w:id="182"/>
      <w:bookmarkEnd w:id="18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合同履行过程中发生以下情形的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应按照本条约定进行变更：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（1）增加或减少合同中任何工作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或追加额外的工作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（2）取消合同中任何工作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但转由他人实施的工作除外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（3）改变合同中任何工作的质量标准或其他特性</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（4）改变工程的基线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标高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位置和尺寸</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（5）改变工程的时间安排或实施顺序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84" w:name="_Toc15521"/>
      <w:bookmarkStart w:id="185" w:name="_Toc16208"/>
      <w:r>
        <w:rPr>
          <w:rFonts w:hint="eastAsia" w:ascii="宋体" w:hAnsi="宋体" w:eastAsia="宋体" w:cs="宋体"/>
          <w:spacing w:val="14"/>
          <w:sz w:val="24"/>
          <w:szCs w:val="24"/>
        </w:rPr>
        <w:t>10.2变更权</w:t>
      </w:r>
      <w:bookmarkEnd w:id="184"/>
      <w:bookmarkEnd w:id="18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发包人和监理人均可以提出变更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变更指示均通过监理人发出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监理人发出变更指示前应征得发包人同意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承包人收到经发包人签认的变更指示后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方可实施变更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未经许可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承包人不得擅自对工程的任何部分进行变更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涉及设计变更的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应由设计人提供变更后的图纸和说明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如变更超过原设计标准或批准的建设规模时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发包人应及时办理规划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设计变更等审批手续</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86" w:name="_Toc870"/>
      <w:bookmarkStart w:id="187" w:name="_Toc19707"/>
      <w:r>
        <w:rPr>
          <w:rFonts w:hint="eastAsia" w:ascii="宋体" w:hAnsi="宋体" w:eastAsia="宋体" w:cs="宋体"/>
          <w:spacing w:val="14"/>
          <w:sz w:val="24"/>
          <w:szCs w:val="24"/>
        </w:rPr>
        <w:t>10.3变更程序</w:t>
      </w:r>
      <w:bookmarkEnd w:id="186"/>
      <w:bookmarkEnd w:id="18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10.3.1 发包人提出变更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发包人提出变更的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应通过监理人向承包人发出变更指示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变更指示应说明计划变更的工程范围和变更的内容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10.3.2 监理人提出变更建议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监理人提出变更建议的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需要向发包人以书面形式提出变更计划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说明计划变更工程范围和变更的内容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理由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以及实施该变更对合同价格和工期的影响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发包人同意变更的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由监理人向承包人发出变更指示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发包人不同意变更的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监理人无权擅自发出变更指示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10.3.3 变更执行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承包人收到监理人下达的变更指示后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认为不能执行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应立即提出不能执行该变更指示的理由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承包人认为可以执行变更的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应当书面说明实施该变更指示对合同价格和工期的影响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且合同当事人应当按照第10.4款〔变更估价〕约定确定变更估价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88" w:name="_Toc21413"/>
      <w:bookmarkStart w:id="189" w:name="_Toc6313"/>
      <w:r>
        <w:rPr>
          <w:rFonts w:hint="eastAsia" w:ascii="宋体" w:hAnsi="宋体" w:eastAsia="宋体" w:cs="宋体"/>
          <w:spacing w:val="14"/>
          <w:sz w:val="24"/>
          <w:szCs w:val="24"/>
        </w:rPr>
        <w:t>10.4变更估价</w:t>
      </w:r>
      <w:bookmarkEnd w:id="188"/>
      <w:bookmarkEnd w:id="18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10.4.1 变更估价原则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变更估价按照本款约定处理：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（1）已标价工程量清单或预算书有相同项目的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按照相同项目单价认定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（2）已标价工程量清单或预算书中无相同项目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但有类似项目的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参照类似项目的单价认定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（3）变更导致实际完成的变更工程量与已标价工程量清单或预算书中列明的该项目工程量的变化幅度超过15%的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或已标价工程量清单或预算书中无相同项目及类似项目单价的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按照合理的成本与利润构成的原则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由合同当事人按照第4.4款〔商定或确定〕确定变更工作的单价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10.4.2 变更估价程序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承包人应在收到变更指示后14天内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向监理人提交变更估价申请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监理人应在收到承包人提交的变更估价申请后7天内审查完毕并报送发包人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监理人对变更估价申请有异议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通知承包人修改后重新提交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发包人应在承包人提交变更估价申请后14天内审批完毕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发包人逾期未完成审批或未提出异议的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视为认可承包人提交的变更估价申请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因变更引起的价格调整应计入最近一期的进度款中支付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90" w:name="_Toc12785"/>
      <w:bookmarkStart w:id="191" w:name="_Toc16190"/>
      <w:r>
        <w:rPr>
          <w:rFonts w:hint="eastAsia" w:ascii="宋体" w:hAnsi="宋体" w:eastAsia="宋体" w:cs="宋体"/>
          <w:spacing w:val="14"/>
          <w:sz w:val="24"/>
          <w:szCs w:val="24"/>
        </w:rPr>
        <w:t>10.5承包人的合理化建议</w:t>
      </w:r>
      <w:bookmarkEnd w:id="190"/>
      <w:bookmarkEnd w:id="19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承包人提出合理化建议的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应向监理人提交合理化建议说明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说明建议的内容和理由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以及实施该建议对合同价格和工期的影响</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监理人应在收到承包人提交的合理化建议后7天内审查完毕并报送发包人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发现其中存在技术上的缺陷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应通知承包人修改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发包人应在收到监理人报送的合理化建议后7天内审批完毕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合理化建议经发包人批准的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监理人应及时发出变更指示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由此引起的合同价格调整按照第10.4款〔变更估价〕约定执行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发包人不同意变更的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监理人应书面通知承包人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合理化建议降低了合同价格或者提高了工程经济效益的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发包人可对承包人给予奖励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奖励的方法和金额在专用合同条款中约定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92" w:name="_Toc14229"/>
      <w:bookmarkStart w:id="193" w:name="_Toc13282"/>
      <w:r>
        <w:rPr>
          <w:rFonts w:hint="eastAsia" w:ascii="宋体" w:hAnsi="宋体" w:eastAsia="宋体" w:cs="宋体"/>
          <w:spacing w:val="14"/>
          <w:sz w:val="24"/>
          <w:szCs w:val="24"/>
        </w:rPr>
        <w:t>10.6变更引起的工期调整</w:t>
      </w:r>
      <w:bookmarkEnd w:id="192"/>
      <w:bookmarkEnd w:id="19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因变更引起工期变化的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合同当事人均可要求调整合同工期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由合同当事人按照第4.4款〔商定或确定〕并参考工程所在地的工期定额标准确定增减工期天数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94" w:name="_Toc27838"/>
      <w:bookmarkStart w:id="195" w:name="_Toc15490"/>
      <w:r>
        <w:rPr>
          <w:rFonts w:hint="eastAsia" w:ascii="宋体" w:hAnsi="宋体" w:eastAsia="宋体" w:cs="宋体"/>
          <w:spacing w:val="14"/>
          <w:sz w:val="24"/>
          <w:szCs w:val="24"/>
        </w:rPr>
        <w:t>10.7暂估价</w:t>
      </w:r>
      <w:bookmarkEnd w:id="194"/>
      <w:bookmarkEnd w:id="19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暂估价专业分包工程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服务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材料和工程设备的明细由合同当事人在专用合同条款中约定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10.7.1 依法必须招标的暂估价项目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对于依法必须招标的暂估价项目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采取以下第1种方式确定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合同当事人也可以在专用合同条款中选择其他招标方式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第1种方式：对于依法必须招标的暂估价项目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由承包人招标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对该暂估价项目的确认和批准按照以下约定执行：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（1）承包人应当根据施工进度计划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在招标工作启动前14天将招标方案通过监理人报送发包人审查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发包人应当在收到承包人报送的招标方案后7天内批准或提出修改意见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承包人应当按照经过发包人批准的招标方案开展招标工作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（2）承包人应当根据施工进度计划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提前14天将招标文件通过监理人报送发包人审批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发包人应当在收到承包人报送的相关文件后7天内完成审批或提出修改意见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发包人有权确定招标控制价并按照法律规定参加评标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（3）承包人与供应商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分包人在签订暂估价合同前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应当提前7天将确定的中标候选供应商或中标候选分包人的资料报送发包人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发包人应在收到资料后3天内与承包人共同确定中标人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承包人应当在签订合同后7天内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将暂估价合同副本报送发包人留存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第2种方式：对于依法必须招标的暂估价项目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由发包人和承包人共同招标确定暂估价供应商或分包人的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承包人应按照施工进度计划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在招标工作启动前14天通知发包人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并提交暂估价招标方案和工作分工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发包人应在收到后7天内确认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确定中标人后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承包人与中标人共同签订暂估价合同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10.7.2不属于依法必须招标的暂估价项目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对于不属于依法必须招标的暂估价项目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采取以下第1种方式确定：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第1种方式：对于不属于依法必须招标的暂估价项目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按本项约定确认和批准：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（1）承包人应根据施工进度计划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在签订暂估价项目的采购合同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分包合同前28天向监理人提出书面申请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监理人应当在收到申请后3天内报送发包人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发包人应当在收到申请后14天内给予批准或提出修改意见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发包人逾期未予批准或提出修改意见的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视为该书面申请已获得同意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（2）发包人认为承包人确定的供应商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分包人无法满足工程质量或合同要求的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发包人可以要求承包人重新确定暂估价项目的供应商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分包人;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（3）承包人应当在签订暂估价合同后7天内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将暂估价合同副本报送发包人留存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第2种方式：承包人按照第10.7.1项〔依法必须招标的暂估价项目〕约定的第1种方式确定暂估价项目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第3种方式：承包人直接实施的暂估价项目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承包人具备实施暂估价项目的资格和条件的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经发包人和承包人协商一致后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可由承包人自行实施暂估价项目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合同当事人可以在专用合同条款约定具体事项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10.7.3 因发包人原因导致暂估价合同订立和履行迟延的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因承包人原因导致暂估价合同订立和履行迟延的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96" w:name="_Toc2919"/>
      <w:bookmarkStart w:id="197" w:name="_Toc2171"/>
      <w:r>
        <w:rPr>
          <w:rFonts w:hint="eastAsia" w:ascii="宋体" w:hAnsi="宋体" w:eastAsia="宋体" w:cs="宋体"/>
          <w:spacing w:val="14"/>
          <w:sz w:val="24"/>
          <w:szCs w:val="24"/>
        </w:rPr>
        <w:t>10.8暂列金额</w:t>
      </w:r>
      <w:bookmarkEnd w:id="196"/>
      <w:bookmarkEnd w:id="19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暂列金额应按照发包人的要求使用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发包人的要求应通过监理人发出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合同当事人可以在专用合同条款中协商确定有关事项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198" w:name="_Toc32629"/>
      <w:bookmarkStart w:id="199" w:name="_Toc27375"/>
      <w:r>
        <w:rPr>
          <w:rFonts w:hint="eastAsia" w:ascii="宋体" w:hAnsi="宋体" w:eastAsia="宋体" w:cs="宋体"/>
          <w:spacing w:val="14"/>
          <w:sz w:val="24"/>
          <w:szCs w:val="24"/>
        </w:rPr>
        <w:t>10.9计日工</w:t>
      </w:r>
      <w:bookmarkEnd w:id="198"/>
      <w:bookmarkEnd w:id="19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需要采用计日工方式的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经发包人同意后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由监理人通知承包人以计日工计价方式实施相应的工作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其价款按列入已标价工程量清单或预算书中的计日工计价项目及其单价进行计算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已标价工程量清单或预算书中无相应的计日工单价的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按照合理的成本与利润构成的原则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由合同当事人按照第4.4款〔商定或确定〕确定计日工的单价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采用计日工计价的任何一项工作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承包人应在该项工作实施过程中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每天提交以下报表和有关凭证报送监理人审查：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（1）工作名称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内容和数量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（2）投入该工作的所有人员的姓名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级别和耗用工时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（3）投入该工作的材料类别和数量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（4）投入该工作的施工设备型号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台数和耗用台时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（5）其他有关资料和凭证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计日工由承包人汇总后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列入最近一期进度付款申请单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由监理人审查并经发包人批准后列入进度付款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00" w:name="_Toc9348"/>
      <w:bookmarkStart w:id="201" w:name="_Toc30721"/>
      <w:r>
        <w:rPr>
          <w:rFonts w:hint="eastAsia" w:ascii="宋体" w:hAnsi="宋体" w:eastAsia="宋体" w:cs="宋体"/>
          <w:spacing w:val="14"/>
          <w:sz w:val="24"/>
          <w:szCs w:val="24"/>
        </w:rPr>
        <w:t>11. 价格调整</w:t>
      </w:r>
      <w:bookmarkEnd w:id="200"/>
      <w:bookmarkEnd w:id="20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02" w:name="_Toc29500"/>
      <w:bookmarkStart w:id="203" w:name="_Toc1877"/>
      <w:r>
        <w:rPr>
          <w:rFonts w:hint="eastAsia" w:ascii="宋体" w:hAnsi="宋体" w:eastAsia="宋体" w:cs="宋体"/>
          <w:spacing w:val="14"/>
          <w:sz w:val="24"/>
          <w:szCs w:val="24"/>
        </w:rPr>
        <w:t>11.1市场价格波动引起的调整</w:t>
      </w:r>
      <w:bookmarkEnd w:id="202"/>
      <w:bookmarkEnd w:id="20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市场价格波动超过合同当事人约定的范围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合同价格应当调整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合同当事人可以在专用合同条款中约定选择以下一种方式对合同价格进行调整：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第1种方式：采用价格指数进行价格调整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（1）价格调整公式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因人工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材料和设备等价格波动影响合同价格时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根据专用合同条款中约定的数据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按以下公式计算差额并调整合同价格：</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cs="宋体"/>
          <w:sz w:val="24"/>
        </w:rPr>
        <w:object>
          <v:shape id="_x0000_i1025" o:spt="75" type="#_x0000_t75" style="height:37.25pt;width:255.65pt;" o:ole="t" filled="f" o:preferrelative="t" stroked="f" coordsize="21600,21600">
            <v:path/>
            <v:fill on="f" focussize="0,0"/>
            <v:stroke on="f" weight="3pt"/>
            <v:imagedata r:id="rId20" o:title=""/>
            <o:lock v:ext="edit" aspectratio="t"/>
            <w10:wrap type="none"/>
            <w10:anchorlock/>
          </v:shape>
          <o:OLEObject Type="Embed" ProgID="Equation.KSEE3" ShapeID="_x0000_i1025" DrawAspect="Content" ObjectID="_1468075725" r:id="rId19">
            <o:LockedField>false</o:LockedField>
          </o:OLEObject>
        </w:objec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公式中：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1)△P——需调整的价格差额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2)Po——中期支付证书中承包人应得到的已完成工程量的金额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此项金额应不包括价格调整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不计质量保证金的扣留与支付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开工预付款的支付与扣回</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约定的工程变更及其他金额已按现行价格计价的也不计在内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3)A——定值权重（即不调部分的权重）</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4)B1</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 B2 </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B3……Bn——各可调因子的变值权重（即可调部分的权重）为各可调因子在投标函投标总报价中所占的比例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5)Ft1</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Ft2</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Ft3……Ftn ——各可调因子的现行价格指数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由发承包双方在合同中约定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一般为进度款支付前28天的各可调因子的价格指数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Fo1</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Fo2</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Fo3……Fon——各可调因子的基本价格指数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指基准日期的各可调因子的价格指数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以上价格调整公式中的各可调因子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定值和变值权重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以及基本价格指数及其来源在投标函附录价格指数和权重表中约定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非招标订立的合同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由合同当事人在专用合同条款中约定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价格指数应首先采用工程造价管理机构发布的价格指数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无前述价格指数时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可采用工程造价管理机构发布的价格代替</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（2）暂时确定调整差额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在计算调整差额时无现行价格指数的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合同当事人同意暂用前次价格指数计算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实际价格指数有调整的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合同当事人进行相应调整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（3）权重的调整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因变更导致合同约定的权重不合理时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按照第4.4款〔商定或确定〕执行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（4）因承包人原因工期延误后的价格调整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因承包人原因未按期竣工的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对合同约定的竣工日期后继续施工的工程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在使用价格调整公式时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应采用计划竣工日期与实际竣工日期的两个价格指数中较低的一个作为现行价格指数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第2种方式：采用造价信息进行价格调整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合同履行期间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因人工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工程设备和机械台班价格波动影响合同价格时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人工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机械使用费按照国家或省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自治区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直辖市建设行政管理部门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行业建设管理部门或其授权的工程造价管理机构发布的人工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机械使用费系数进行调整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需要进行价格调整的材料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其单价和采购数量应由发包人审批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发包人确认需调整的材料单价及数量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作为调整合同价格的依据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（1）人工单价发生变化且符合省级或行业建设主管部门发布的人工费调整规定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合同当事人应按省级或行业建设主管部门或其授权的工程造价管理机构发布的人工费等文件调整合同价格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但承包人对人工费或人工单价的报价高于发布价格的除外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工程设备价格变化的价款调整按照发包人提供的基准价格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按以下风险范围规定执行: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①承包人在已标价工程量清单或预算书中载明材料单价低于基准价格的：除专用合同条款另有约定外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合同履行期间材料单价涨幅以基准价格为基础超过5%时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或材料单价跌幅以在已标价工程量清单或预算书中载明材料单价为基础超过5%时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其超过部分据实调整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②承包人在已标价工程量清单或预算书中载明材料单价高于基准价格的：除专用合同条款另有约定外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合同履行期间材料单价跌幅以基准价格为基础超过5%时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材料单价涨幅以在已标价工程量清单或预算书中载明材料单价为基础超过5%时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其超过部分据实调整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③承包人在已标价工程量清单或预算书中载明材料单价等于基准价格的：除专用合同条款另有约定外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合同履行期间材料单价涨跌幅以基准价格为基础超过±5%时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其超过部分据实调整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④承包人应在采购材料前将采购数量和新的材料单价报发包人核对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发包人确认用于工程时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发包人应确认采购材料的数量和单价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发包人在收到承包人报送的确认资料后5天内不予答复的视为认可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作为调整合同价格的依据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未经发包人事先核对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承包人自行采购材料的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发包人有权不予调整合同价格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发包人同意的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可以调整合同价格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前述基准价格是指由发包人在招标文件或专用合同条款中给定的材料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工程设备的价格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该价格原则上应当按照省级或行业建设主管部门或其授权的工程造价管理机构发布的信息价编制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（3）施工机械台班单价或施工机械使用费发生变化超过省级或行业建设主管部门或其授权的工程造价管理机构规定的范围时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按规定调整合同价格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第3种方式：专用合同条款约定的其他方式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04" w:name="_Toc27114"/>
      <w:bookmarkStart w:id="205" w:name="_Toc22806"/>
      <w:r>
        <w:rPr>
          <w:rFonts w:hint="eastAsia" w:ascii="宋体" w:hAnsi="宋体" w:eastAsia="宋体" w:cs="宋体"/>
          <w:spacing w:val="14"/>
          <w:sz w:val="24"/>
          <w:szCs w:val="24"/>
        </w:rPr>
        <w:t>11.2法律变化引起的调整</w:t>
      </w:r>
      <w:bookmarkEnd w:id="204"/>
      <w:bookmarkEnd w:id="20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基准日期后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法律变化导致承包人在合同履行过程中所需要的费用发生除第11.1款〔市场价格波动引起的调整〕约定以外的增加时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由发包人承担由此增加的费用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减少时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应从合同价格中予以扣减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基准日期后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因法律变化造成工期延误时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工期应予以顺延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因法律变化引起的合同价格和工期调整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合同当事人无法达成一致的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由总监理工程师按第4.4款〔商定或确定〕的约定处理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因承包人原因造成工期延误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在工期延误期间出现法律变化的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06" w:name="_Toc25764"/>
      <w:bookmarkStart w:id="207" w:name="_Toc7602"/>
      <w:r>
        <w:rPr>
          <w:rFonts w:hint="eastAsia" w:ascii="宋体" w:hAnsi="宋体" w:eastAsia="宋体" w:cs="宋体"/>
          <w:spacing w:val="14"/>
          <w:sz w:val="24"/>
          <w:szCs w:val="24"/>
        </w:rPr>
        <w:t>12. 合同价格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计量与支付</w:t>
      </w:r>
      <w:bookmarkEnd w:id="206"/>
      <w:bookmarkEnd w:id="20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08" w:name="_Toc2069"/>
      <w:bookmarkStart w:id="209" w:name="_Toc12599"/>
      <w:r>
        <w:rPr>
          <w:rFonts w:hint="eastAsia" w:ascii="宋体" w:hAnsi="宋体" w:eastAsia="宋体" w:cs="宋体"/>
          <w:spacing w:val="14"/>
          <w:sz w:val="24"/>
          <w:szCs w:val="24"/>
        </w:rPr>
        <w:t>12.1 合同价格形式</w:t>
      </w:r>
      <w:bookmarkEnd w:id="208"/>
      <w:bookmarkEnd w:id="20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发包人和承包人应在合同协议书中选择下列一种合同价格形式：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10" w:name="_Toc4138"/>
      <w:bookmarkStart w:id="211" w:name="_Toc26805"/>
      <w:r>
        <w:rPr>
          <w:rFonts w:hint="eastAsia" w:ascii="宋体" w:hAnsi="宋体" w:eastAsia="宋体" w:cs="宋体"/>
          <w:spacing w:val="14"/>
          <w:sz w:val="24"/>
          <w:szCs w:val="24"/>
        </w:rPr>
        <w:t>1.单价合同</w:t>
      </w:r>
      <w:bookmarkEnd w:id="210"/>
      <w:bookmarkEnd w:id="21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单价合同是指合同当事人约定以工程量清单及其综合单价进行合同价格计算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调整和确认的建设工程施工合同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在约定的范围内合同单价不作调整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合同当事人应在专用合同条款中约定综合单价包含的风险范围和风险费用的计算方法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并约定风险范围以外的合同价格的调整方法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其中因市场价格波动引起的调整按第11.1款〔市场价格波动引起的调整〕约定执行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12" w:name="_Toc22753"/>
      <w:bookmarkStart w:id="213" w:name="_Toc27082"/>
      <w:r>
        <w:rPr>
          <w:rFonts w:hint="eastAsia" w:ascii="宋体" w:hAnsi="宋体" w:eastAsia="宋体" w:cs="宋体"/>
          <w:spacing w:val="14"/>
          <w:sz w:val="24"/>
          <w:szCs w:val="24"/>
        </w:rPr>
        <w:t>2.总价合同</w:t>
      </w:r>
      <w:bookmarkEnd w:id="212"/>
      <w:bookmarkEnd w:id="21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总价合同是指合同当事人约定以施工图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已标价工程量清单或预算书及有关条件进行合同价格计算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调整和确认的建设工程施工合同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在约定的范围内合同总价不作调整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合同当事人应在专用合同条款中约定总价包含的风险范围和风险费用的计算方法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并约定风险范围以外的合同价格的调整方法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其中因市场价格波动引起的调整按第11.1款〔市场价格波动引起的调整〕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因法律变化引起的调整按第11.2款〔法律变化引起的调整〕约定执行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14" w:name="_Toc12880"/>
      <w:bookmarkStart w:id="215" w:name="_Toc30664"/>
      <w:r>
        <w:rPr>
          <w:rFonts w:hint="eastAsia" w:ascii="宋体" w:hAnsi="宋体" w:eastAsia="宋体" w:cs="宋体"/>
          <w:spacing w:val="14"/>
          <w:sz w:val="24"/>
          <w:szCs w:val="24"/>
        </w:rPr>
        <w:t>3.其它价格形式</w:t>
      </w:r>
      <w:bookmarkEnd w:id="214"/>
      <w:bookmarkEnd w:id="21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合同当事人可在专用合同条款中约定其他合同价格形式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16" w:name="_Toc7195"/>
      <w:bookmarkStart w:id="217" w:name="_Toc28187"/>
      <w:r>
        <w:rPr>
          <w:rFonts w:hint="eastAsia" w:ascii="宋体" w:hAnsi="宋体" w:eastAsia="宋体" w:cs="宋体"/>
          <w:spacing w:val="14"/>
          <w:sz w:val="24"/>
          <w:szCs w:val="24"/>
        </w:rPr>
        <w:t>12.2预付款</w:t>
      </w:r>
      <w:bookmarkEnd w:id="216"/>
      <w:bookmarkEnd w:id="21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12.2.1预付款的支付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预付款的支付按照专用合同条款约定执行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但至迟应在开工通知载明的开工日期7天前支付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预付款应当用于材料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施工设备的采购及修建临时工程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组织施工队伍进场等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预付款在进度付款中同比例扣回</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在颁发工程接收证书前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提前解除合同的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尚未扣完的预付款应与合同价款一并结算</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发包人逾期支付预付款超过7天的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承包人有权向发包人发出要求预付的催告通知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发包人收到通知后7天内仍未支付的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承包人有权暂停施工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并按第16.1.1项〔发包人违约的情形〕执行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12.2.2 预付款担保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发包人要求承包人提供预付款担保的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承包人应在发包人支付预付款7天前提供预付款担保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专用合同条款另有约定除外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预付款担保可采用银行保函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担保公司担保等形式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具体由合同当事人在专用合同条款中约定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在预付款完全扣回之前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承包人应保证预付款担保持续有效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发包人在工程款中逐期扣回预付款后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预付款担保额度应相应减少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但剩余的预付款担保金额不得低于未被扣回的预付款金额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18" w:name="_Toc10106"/>
      <w:bookmarkStart w:id="219" w:name="_Toc20627"/>
      <w:r>
        <w:rPr>
          <w:rFonts w:hint="eastAsia" w:ascii="宋体" w:hAnsi="宋体" w:eastAsia="宋体" w:cs="宋体"/>
          <w:spacing w:val="14"/>
          <w:sz w:val="24"/>
          <w:szCs w:val="24"/>
        </w:rPr>
        <w:t>12.3计量</w:t>
      </w:r>
      <w:bookmarkEnd w:id="218"/>
      <w:bookmarkEnd w:id="21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12.3.1 计量原则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工程量计量按照合同约定的工程量计算规则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图纸及变更指示等进行计量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工程量计算规则应以相关的国家标准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行业标准等为依据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12.3.2 计量周期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工程量的计量按月进行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12.3.3 单价合同的计量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单价合同的计量按照本项约定执行：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（1）承包人应于每月25日向监理人报送上月20日至当月19日已完成的工程量报告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并附具进度付款申请单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已完成工程量报表和有关资料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（2）监理人应在收到承包人提交的工程量报告后7天内完成对承包人提交的工程量报表的审核并报送发包人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以确定当月实际完成的工程量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监理人对工程量有异议的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有权要求承包人进行共同复核或抽样复测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承包人应协助监理人进行复核或抽样复测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并按监理人要求提供补充计量资料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承包人未按监理人要求参加复核或抽样复测的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监理人复核或修正的工程量视为承包人实际完成的工程量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（3）监理人未在收到承包人提交的工程量报表后的7天内完成审核的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承包人报送的工程量报告中的工程量视为承包人实际完成的工程量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据此计算工程价款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12.3.4 总价合同的计量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按月</w:t>
      </w:r>
      <w:r>
        <w:rPr>
          <w:rFonts w:hint="eastAsia" w:ascii="宋体" w:hAnsi="宋体" w:eastAsia="宋体" w:cs="宋体"/>
          <w:spacing w:val="14"/>
          <w:sz w:val="24"/>
          <w:szCs w:val="24"/>
          <w:lang w:eastAsia="zh-CN"/>
        </w:rPr>
        <w:t>计量与支付</w:t>
      </w:r>
      <w:r>
        <w:rPr>
          <w:rFonts w:hint="eastAsia" w:ascii="宋体" w:hAnsi="宋体" w:eastAsia="宋体" w:cs="宋体"/>
          <w:spacing w:val="14"/>
          <w:sz w:val="24"/>
          <w:szCs w:val="24"/>
        </w:rPr>
        <w:t>的总价合同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按照本项约定执行：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（1）承包人应于每月25日向监理人报送上月20日至当月19日已完成的工程量报告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并附具进度付款申请单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已完成工程量报表和有关资料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（2）监理人应在收到承包人提交的工程量报告后7天内完成对承包人提交的工程量报表的审核并报送发包人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以确定当月实际完成的工程量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监理人对工程量有异议的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有权要求承包人进行共同复核或抽样复测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承包人应协助监理人进行复核或抽样复测并按监理人要求提供补充计量资料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承包人未按监理人要求参加复核或抽样复测的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监理人审核或修正的工程量视为承包人实际完成的工程量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（3）监理人未在收到承包人提交的工程量报表后的7天内完成复核的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承包人提交的工程量报告中的工程量视为承包人实际完成的工程量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12.3.5 总价合同采用支付分解表</w:t>
      </w:r>
      <w:r>
        <w:rPr>
          <w:rFonts w:hint="eastAsia" w:ascii="宋体" w:hAnsi="宋体" w:eastAsia="宋体" w:cs="宋体"/>
          <w:spacing w:val="14"/>
          <w:sz w:val="24"/>
          <w:szCs w:val="24"/>
          <w:lang w:eastAsia="zh-CN"/>
        </w:rPr>
        <w:t>计量与支付</w:t>
      </w:r>
      <w:r>
        <w:rPr>
          <w:rFonts w:hint="eastAsia" w:ascii="宋体" w:hAnsi="宋体" w:eastAsia="宋体" w:cs="宋体"/>
          <w:spacing w:val="14"/>
          <w:sz w:val="24"/>
          <w:szCs w:val="24"/>
        </w:rPr>
        <w:t>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可以按照第12.3.4项〔总价合同的计量〕约定进行计量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但合同价款按照支付分解表进行支付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12.3.6 其他价格形式合同的计量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合同当事人可在专用合同条款中约定其他价格形式合同的计量方式和程序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20" w:name="_Toc9677"/>
      <w:bookmarkStart w:id="221" w:name="_Toc27143"/>
      <w:r>
        <w:rPr>
          <w:rFonts w:hint="eastAsia" w:ascii="宋体" w:hAnsi="宋体" w:eastAsia="宋体" w:cs="宋体"/>
          <w:spacing w:val="14"/>
          <w:sz w:val="24"/>
          <w:szCs w:val="24"/>
        </w:rPr>
        <w:t>12.4工程进度款支付</w:t>
      </w:r>
      <w:bookmarkEnd w:id="220"/>
      <w:bookmarkEnd w:id="22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12.4.1 付款周期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付款周期应按照第12.3.2项〔计量周期〕的约定与计量周期保持一致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12.4.2 进度付款申请单的编制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进度付款申请单应包括下列内容：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（1）截至本次付款周期已完成工作对应的金额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（2）根据第10条〔变更〕应增加和扣减的变更金额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（3）根据第12.2款〔预付款〕约定应支付的预付款和扣减的返还预付款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（4）根据第15.3款〔质量保证金〕约定应扣减的质量保证金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（5）根据第19条〔索赔〕应增加和扣减的索赔金额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（6）对已签发的进度款支付证书中出现错误的修正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应在本次进度付款中支付或扣除的金额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（7）根据合同约定应增加和扣减的其他金额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12.4.3 进度付款申请单的提交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（1）单价合同进度付款申请单的提交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单价合同的进度付款申请单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按照第12.3.3项〔单价合同的计量〕约定的时间按月向监理人提交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并附上已完成工程量报表和有关资料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单价合同中的总价项目按月进行支付分解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并汇总列入当期进度付款申请单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（2）总价合同进度付款申请单的提交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总价合同按月</w:t>
      </w:r>
      <w:r>
        <w:rPr>
          <w:rFonts w:hint="eastAsia" w:ascii="宋体" w:hAnsi="宋体" w:eastAsia="宋体" w:cs="宋体"/>
          <w:spacing w:val="14"/>
          <w:sz w:val="24"/>
          <w:szCs w:val="24"/>
          <w:lang w:eastAsia="zh-CN"/>
        </w:rPr>
        <w:t>计量与支付</w:t>
      </w:r>
      <w:r>
        <w:rPr>
          <w:rFonts w:hint="eastAsia" w:ascii="宋体" w:hAnsi="宋体" w:eastAsia="宋体" w:cs="宋体"/>
          <w:spacing w:val="14"/>
          <w:sz w:val="24"/>
          <w:szCs w:val="24"/>
        </w:rPr>
        <w:t>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承包人按照第12.3.4项〔总价合同的计量〕约定的时间按月向监理人提交进度付款申请单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并附上已完成工程量报表和有关资料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总价合同按支付分解表支付的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承包人应按照第12.4.6项〔支付分解表〕及第12.4.2项〔进度付款申请单的编制〕的约定向监理人提交进度付款申请单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（3）其他价格形式合同的进度付款申请单的提交</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合同当事人可在专用合同条款中约定其他价格形式合同的进度付款申请单的编制和提交程序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12.4.4 进度款审核和支付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监理人应在收到承包人进度付款申请单以及相关资料后7天内完成审查并报送发包人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发包人应在收到后7天内完成审批并签发进度款支付证书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发包人逾期未完成审批且未提出异议的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视为已签发进度款支付证书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发包人和监理人对承包人的进度付款申请单有异议的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有权要求承包人修正和提供补充资料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承包人应提交修正后的进度付款申请单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监理人应在收到承包人修正后的进度付款申请单及相关资料后7天内完成审查并报送发包人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发包人应在收到监理人报送的进度付款申请单及相关资料后7天内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向承包人签发无异议部分的临时进度款支付证书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存在争议的部分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按照第20条〔争议解决〕的约定处理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发包人应在进度款支付证书或临时进度款支付证书签发后14天内完成支付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发包人逾期支付进度款的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应按照中国人民银行发布的同期同类贷款基准利率支付违约金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（3）发包人签发进度款支付证书或临时进度款支付证书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不表明发包人已同意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批准或接受了承包人完成的相应部分的工作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12.4.5 进度付款的修正</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在对已签发的进度款支付证书进行阶段汇总和复核中发现错误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遗漏或重复的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发包人和承包人均有权提出修正申请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经发包人和承包人同意的修正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应在下期进度付款中支付或扣除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12.4.6 支付分解表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22" w:name="_Toc19285"/>
      <w:bookmarkStart w:id="223" w:name="_Toc13736"/>
      <w:r>
        <w:rPr>
          <w:rFonts w:hint="eastAsia" w:ascii="宋体" w:hAnsi="宋体" w:eastAsia="宋体" w:cs="宋体"/>
          <w:spacing w:val="14"/>
          <w:sz w:val="24"/>
          <w:szCs w:val="24"/>
        </w:rPr>
        <w:t>1.支付分解表的编制要求</w:t>
      </w:r>
      <w:bookmarkEnd w:id="222"/>
      <w:bookmarkEnd w:id="22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（1）支付分解表中所列的每期付款金额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应为第12.4.2项〔进度付款申请单的编制〕第（1）目的估算金额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（2）实际进度与施工进度计划不一致的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合同当事人可按照第4.4款〔商定或确定〕修改支付分解表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（3）不采用支付分解表的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承包人应向发包人和监理人提交按季度编制的支付估算分解表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用于支付参考</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24" w:name="_Toc26554"/>
      <w:bookmarkStart w:id="225" w:name="_Toc1841"/>
      <w:r>
        <w:rPr>
          <w:rFonts w:hint="eastAsia" w:ascii="宋体" w:hAnsi="宋体" w:eastAsia="宋体" w:cs="宋体"/>
          <w:spacing w:val="14"/>
          <w:sz w:val="24"/>
          <w:szCs w:val="24"/>
        </w:rPr>
        <w:t>2.总价合同支付分解表的编制与审批</w:t>
      </w:r>
      <w:bookmarkEnd w:id="224"/>
      <w:bookmarkEnd w:id="22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承包人应根据第7.2款〔施工进度计划〕约定的施工进度计划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签约合同价和工程量等因素对总价合同按月进行分解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编制支付分解表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承包人应当在收到监理人和发包人批准的施工进度计划后7天内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将支付分解表及编制支付分解表的支持性资料报送监理人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（2）监理人应在收到支付分解表后7天内完成审核并报送发包人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发包人应在收到经监理人审核的支付分解表后7天内完成审批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经发包人批准的支付分解表为有约束力的支付分解表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（3）发包人逾期未完成支付分解表审批的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也未及时要求承包人进行修正和提供补充资料的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则承包人提交的支付分解表视为已经获得发包人批准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26" w:name="_Toc16446"/>
      <w:bookmarkStart w:id="227" w:name="_Toc24586"/>
      <w:r>
        <w:rPr>
          <w:rFonts w:hint="eastAsia" w:ascii="宋体" w:hAnsi="宋体" w:eastAsia="宋体" w:cs="宋体"/>
          <w:spacing w:val="14"/>
          <w:sz w:val="24"/>
          <w:szCs w:val="24"/>
        </w:rPr>
        <w:t>3.单价合同的总价项目支付分解表的编制与审批</w:t>
      </w:r>
      <w:bookmarkEnd w:id="226"/>
      <w:bookmarkEnd w:id="22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单价合同的总价项目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由承包人根据施工进度计划和总价项目的总价构成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费用性质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计划发生时间和相应工程量等因素按月进行分解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形成支付分解表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其编制与审批参照总价合同支付分解表的编制与审批执行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28" w:name="_Toc14666"/>
      <w:bookmarkStart w:id="229" w:name="_Toc9042"/>
      <w:r>
        <w:rPr>
          <w:rFonts w:hint="eastAsia" w:ascii="宋体" w:hAnsi="宋体" w:eastAsia="宋体" w:cs="宋体"/>
          <w:spacing w:val="14"/>
          <w:sz w:val="24"/>
          <w:szCs w:val="24"/>
        </w:rPr>
        <w:t>12.5支付账户</w:t>
      </w:r>
      <w:bookmarkEnd w:id="228"/>
      <w:bookmarkEnd w:id="22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发包人应将合同价款支付至合同协议书中约定的承包人账户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30" w:name="_Toc6654"/>
      <w:bookmarkStart w:id="231" w:name="_Toc22210"/>
      <w:r>
        <w:rPr>
          <w:rFonts w:hint="eastAsia" w:ascii="宋体" w:hAnsi="宋体" w:eastAsia="宋体" w:cs="宋体"/>
          <w:spacing w:val="14"/>
          <w:sz w:val="24"/>
          <w:szCs w:val="24"/>
        </w:rPr>
        <w:t>13. 验收和工程试车</w:t>
      </w:r>
      <w:bookmarkEnd w:id="230"/>
      <w:bookmarkEnd w:id="23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32" w:name="_Toc32456"/>
      <w:bookmarkStart w:id="233" w:name="_Toc11024"/>
      <w:r>
        <w:rPr>
          <w:rFonts w:hint="eastAsia" w:ascii="宋体" w:hAnsi="宋体" w:eastAsia="宋体" w:cs="宋体"/>
          <w:spacing w:val="14"/>
          <w:sz w:val="24"/>
          <w:szCs w:val="24"/>
        </w:rPr>
        <w:t>13.1分部分项工程验收</w:t>
      </w:r>
      <w:bookmarkEnd w:id="232"/>
      <w:bookmarkEnd w:id="23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13.1.1 分部分项工程质量应符合国家有关工程施工验收规范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标准及合同约定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承包人应按照施工组织设计的要求完成分部分项工程施工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13.1.2 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分部分项工程经承包人自检合格并具备验收条件的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承包人应提前48小时通知监理人进行验收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监理人不能按时进行验收的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应在验收前24小时向承包人提交书面延期要求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但延期不能超过48小时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监理人未按时进行验收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也未提出延期要求的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承包人有权自行验收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监理人应认可验收结果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分部分项工程未经验收的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不得进入下一道工序施工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分部分项工程的验收资料应当作为竣工资料的组成部分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34" w:name="_Toc23103"/>
      <w:bookmarkStart w:id="235" w:name="_Toc20774"/>
      <w:r>
        <w:rPr>
          <w:rFonts w:hint="eastAsia" w:ascii="宋体" w:hAnsi="宋体" w:eastAsia="宋体" w:cs="宋体"/>
          <w:spacing w:val="14"/>
          <w:sz w:val="24"/>
          <w:szCs w:val="24"/>
        </w:rPr>
        <w:t>13.2竣工验收</w:t>
      </w:r>
      <w:bookmarkEnd w:id="234"/>
      <w:bookmarkEnd w:id="23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13.2.1竣工验收条件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工程具备以下条件的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承包人可以申请竣工验收：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（1）除发包人同意的甩项工作和缺陷修补工作外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合同范围内的全部工程以及有关工作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包括合同要求的试验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试运行以及检验均已完成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并符合合同要求</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（2）已按合同约定编制了甩项工作和缺陷修补工作清单以及相应的施工计划</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（3）已按合同约定的内容和份数备齐竣工资料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13.2.2竣工验收程序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承包人申请竣工验收的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应当按照以下程序进行：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（1）承包人向监理人报送竣工验收申请报告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监理人应在收到竣工验收申请报告后14天内完成审查并报送发包人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监理人审查后认为尚不具备验收条件的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应通知承包人在竣工验收前承包人还需完成的工作内容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承包人应在完成监理人通知的全部工作内容后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再次提交竣工验收申请报告</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（2）监理人审查后认为已具备竣工验收条件的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应将竣工验收申请报告提交发包人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发包人应在收到经监理人审核的竣工验收申请报告后28天内审批完毕并组织监理人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设计人等相关单位完成竣工验收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（3）竣工验收合格的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发包人应在验收合格后14天内向承包人签发工程接收证书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发包人无正当理由逾期不颁发工程接收证书的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自验收合格后第15天起视为已颁发工程接收证书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（4）竣工验收不合格的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监理人应按照验收意见发出指示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要求承包人对不合格工程返工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修复或采取其他补救措施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承包人在完成不合格工程的返工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修复或采取其他补救措施后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应重新提交竣工验收申请报告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并按本项约定的程序重新进行验收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（5）工程未经验收或验收不合格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发包人擅自使用的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应在转移占有工程后7天内向承包人颁发工程接收证书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发包人无正当理由逾期不颁发工程接收证书的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自转移占有后第15天起视为已颁发工程接收证书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发包人不按照本项约定组织竣工验收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颁发工程接收证书的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每逾期一天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应以签约合同价为基数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按照中国人民银行发布的同期同类贷款基准利率支付违约金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13.2.3竣工日期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工程经竣工验收合格的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以承包人提交竣工验收申请报告之日为实际竣工日期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并在工程接收证书中载明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因发包人原因</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未在监理人收到承包人提交的竣工验收申请报告42天内完成竣工验收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或完成竣工验收不予签发工程接收证书的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以提交竣工验收申请报告的日期为实际竣工日期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工程未经竣工验收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发包人擅自使用的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以转移占有工程之日为实际竣工日期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13.2.4 拒绝接收全部或部分工程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对于竣工验收不合格的工程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承包人完成整改后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应当重新进行竣工验收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经重新组织验收仍不合格的且无法采取措施补救的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则发包人可以拒绝接收不合格工程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因不合格工程导致其他工程不能正常使用的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承包人应采取措施确保相关工程的正常使用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由此增加的费用和（或）延误的工期由承包人承担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13.2.5 移交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接收全部与部分工程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合同当事人应当在颁发工程接收证书后7天内完成工程的移交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发包人无正当理由不接收工程的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发包人自应当接收工程之日起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承担工程照管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成品保护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保管等与工程有关的各项费用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合同当事人可以在专用合同条款中另行约定发包人逾期接收工程的违约责任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承包人无正当理由不移交工程的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承包人应承担工程照管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成品保护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保管等与工程有关的各项费用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合同当事人可以在专用合同条款中另行约定承包人无正当理由不移交工程的违约责任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36" w:name="_Toc29104"/>
      <w:bookmarkStart w:id="237" w:name="_Toc1645"/>
      <w:r>
        <w:rPr>
          <w:rFonts w:hint="eastAsia" w:ascii="宋体" w:hAnsi="宋体" w:eastAsia="宋体" w:cs="宋体"/>
          <w:spacing w:val="14"/>
          <w:sz w:val="24"/>
          <w:szCs w:val="24"/>
        </w:rPr>
        <w:t>13.3工程试车</w:t>
      </w:r>
      <w:bookmarkEnd w:id="236"/>
      <w:bookmarkEnd w:id="23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13.3.1试车程序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工程需要试车的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试车内容应与承包人承包范围相一致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试车费用由承包人承担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工程试车应按如下程序进行：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（1）具备单机无负荷试车条件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承包人组织试车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并在试车前48小时书面通知监理人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通知中应载明试车内容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地点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承包人准备试车记录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发包人根据承包人要求为试车提供必要条件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试车合格的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监理人在试车记录上签字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监理人在试车合格后不在试车记录上签字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自试车结束满24小时后视为监理人已经认可试车记录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承包人可继续施工或办理竣工验收手续</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监理人不能按时参加试车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应在试车前24小时以书面形式向承包人提出延期要求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但延期不能超过48小时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由此导致工期延误的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工期应予以顺延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监理人未能在前述期限内提出延期要求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又不参加试车的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视为认可试车记录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（2）具备无负荷联动试车条件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发包人组织试车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并在试车前48小时以书面形式通知承包人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通知中应载明试车内容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地点和对承包人的要求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承包人按要求做好准备工作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试车合格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合同当事人在试车记录上签字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承包人无正当理由不参加试车的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视为认可试车记录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13.3.2 试车中的责任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因设计原因导致试车达不到验收要求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发包人应要求设计人修改设计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承包人按修改后的设计重新安装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发包人承担修改设计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拆除及重新安装的全部费用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工期相应顺延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因承包人原因导致试车达不到验收要求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承包人按监理人要求重新安装和试车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并承担重新安装和试车的费用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工期不予顺延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因工程设备制造原因导致试车达不到验收要求的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由采购该工程设备的合同当事人负责重新购置或修理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承包人负责拆除和重新安装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由此增加的修理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重新购置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拆除及重新安装的费用及延误的工期由采购该工程设备的合同当事人承担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13.3.3 投料试车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如需进行投料试车的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发包人应在工程竣工验收后组织投料试车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发包人要求在工程竣工验收前进行或需要承包人配合时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应征得承包人同意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并在专用合同条款中约定有关事项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投料试车合格的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费用由发包人承担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因承包人原因造成投料试车不合格的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承包人应按照发包人要求进行整改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由此产生的整改费用由承包人承担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非因承包人原因导致投料试车不合格的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如发包人要求承包人进行整改的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由此产生的费用由发包人承担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38" w:name="_Toc6093"/>
      <w:bookmarkStart w:id="239" w:name="_Toc32352"/>
      <w:r>
        <w:rPr>
          <w:rFonts w:hint="eastAsia" w:ascii="宋体" w:hAnsi="宋体" w:eastAsia="宋体" w:cs="宋体"/>
          <w:spacing w:val="14"/>
          <w:sz w:val="24"/>
          <w:szCs w:val="24"/>
        </w:rPr>
        <w:t>13.4提前交付单位工程的验收</w:t>
      </w:r>
      <w:bookmarkEnd w:id="238"/>
      <w:bookmarkEnd w:id="23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13.4.1 发包人需要在工程竣工前使用单位工程的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或承包人提出提前交付已经竣工的单位工程且经发包人同意的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可进行单位工程验收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验收的程序按照第13.2款〔竣工验收〕的约定进行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验收合格后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由监理人向承包人出具经发包人签认的单位工程接收证书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已签发单位工程接收证书的单位工程由发包人负责照管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单位工程的验收成果和结论作为整体工程竣工验收申请报告的附件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13.4.2 发包人要求在工程竣工前交付单位工程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由此导致承包人费用增加和（或）工期延误的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由发包人承担由此增加的费用和（或）延误的工期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40" w:name="_Toc3545"/>
      <w:bookmarkStart w:id="241" w:name="_Toc14431"/>
      <w:r>
        <w:rPr>
          <w:rFonts w:hint="eastAsia" w:ascii="宋体" w:hAnsi="宋体" w:eastAsia="宋体" w:cs="宋体"/>
          <w:spacing w:val="14"/>
          <w:sz w:val="24"/>
          <w:szCs w:val="24"/>
        </w:rPr>
        <w:t>13.5 施工期运行</w:t>
      </w:r>
      <w:bookmarkEnd w:id="240"/>
      <w:bookmarkEnd w:id="24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13.5.1 施工期运行是指合同工程尚未全部竣工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其中某项或某几项单位工程或工程设备安装已竣工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根据专用合同条款约定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需要投入施工期运行的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经发包人按第13.4款〔提前交付单位工程的验收〕的约定验收合格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证明能确保安全后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才能在施工期投入运行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13.5.2 在施工期运行中发现工程或工程设备损坏或存在缺陷的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由承包人按第15.2款〔缺陷责任期〕约定进行修复</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42" w:name="_Toc10625"/>
      <w:bookmarkStart w:id="243" w:name="_Toc10575"/>
      <w:r>
        <w:rPr>
          <w:rFonts w:hint="eastAsia" w:ascii="宋体" w:hAnsi="宋体" w:eastAsia="宋体" w:cs="宋体"/>
          <w:spacing w:val="14"/>
          <w:sz w:val="24"/>
          <w:szCs w:val="24"/>
        </w:rPr>
        <w:t>13.6 竣工退场</w:t>
      </w:r>
      <w:bookmarkEnd w:id="242"/>
      <w:bookmarkEnd w:id="24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13.6.1 竣工退场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颁发工程接收证书后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承包人应按以下要求对施工现场进行清理：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（1）施工现场内残留的垃圾已全部清除出场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（2）临时工程已拆除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场地已进行清理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平整或复原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（3）按合同约定应撤离的人员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承包人施工设备和剩余的材料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包括废弃的施工设备和材料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已按计划撤离施工现场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（4）施工现场周边及其附近道路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河道的施工堆积物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已全部清理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（5）施工现场其他场地清理工作已全部完成</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施工现场的竣工退场费用由承包人承担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承包人应在专用合同条款约定的期限内完成竣工退场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逾期未完成的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发包人有权出售或另行处理承包人遗留的物品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由此支出的费用由承包人承担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发包人出售承包人遗留物品所得款项在扣除必要费用后应返还承包人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13.6.2 地表还原</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承包人应按发包人要求恢复临时占地及清理场地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承包人未按发包人的要求恢复临时占地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或者场地清理未达到合同约定要求的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发包人有权委托其他人恢复或清理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所发生的费用由承包人承担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44" w:name="_Toc11369"/>
      <w:bookmarkStart w:id="245" w:name="_Toc30800"/>
      <w:r>
        <w:rPr>
          <w:rFonts w:hint="eastAsia" w:ascii="宋体" w:hAnsi="宋体" w:eastAsia="宋体" w:cs="宋体"/>
          <w:spacing w:val="14"/>
          <w:sz w:val="24"/>
          <w:szCs w:val="24"/>
        </w:rPr>
        <w:t>14. 竣工结算</w:t>
      </w:r>
      <w:bookmarkEnd w:id="244"/>
      <w:bookmarkEnd w:id="24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46" w:name="_Toc5370"/>
      <w:bookmarkStart w:id="247" w:name="_Toc18766"/>
      <w:r>
        <w:rPr>
          <w:rFonts w:hint="eastAsia" w:ascii="宋体" w:hAnsi="宋体" w:eastAsia="宋体" w:cs="宋体"/>
          <w:spacing w:val="14"/>
          <w:sz w:val="24"/>
          <w:szCs w:val="24"/>
        </w:rPr>
        <w:t>14.1 竣工结算申请</w:t>
      </w:r>
      <w:bookmarkEnd w:id="246"/>
      <w:bookmarkEnd w:id="24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承包人应在工程竣工验收合格后28天内向发包人和监理人提交竣工结算申请单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并提交完整的结算资料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有关竣工结算申请单的资料清单和份数等要求由合同当事人在专用合同条款中约定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竣工结算申请单应包括以下内容：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（1）竣工结算合同价格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（2）发包人已支付承包人的款项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（3）应扣留的质量保证金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已缴纳履约保证金的或提供其他工程质量担保方式的除外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（4）发包人应支付承包人的合同价款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48" w:name="_Toc18483"/>
      <w:bookmarkStart w:id="249" w:name="_Toc6252"/>
      <w:r>
        <w:rPr>
          <w:rFonts w:hint="eastAsia" w:ascii="宋体" w:hAnsi="宋体" w:eastAsia="宋体" w:cs="宋体"/>
          <w:spacing w:val="14"/>
          <w:sz w:val="24"/>
          <w:szCs w:val="24"/>
        </w:rPr>
        <w:t>14.2 竣工结算审核</w:t>
      </w:r>
      <w:bookmarkEnd w:id="248"/>
      <w:bookmarkEnd w:id="24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监理人应在收到竣工结算申请单后14天内完成核查并报送发包人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发包人应在收到监理人提交的经审核的竣工结算申请单后14天内完成审批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并由监理人向承包人签发经发包人签认的竣工付款证书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监理人或发包人对竣工结算申请单有异议的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有权要求承包人进行修正和提供补充资料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承包人应提交修正后的竣工结算申请单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发包人在收到承包人提交竣工结算申请书后28天内未完成审批且未提出异议的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视为发包人认可承包人提交的竣工结算申请单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并自发包人收到承包人提交的竣工结算申请单后第29天起视为已签发竣工付款证书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发包人应在签发竣工付款证书后的14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完成对承包人的竣工付款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按照中国人民银行发布的同期同类贷款基准利率支付违约金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逾期支付超过56天的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按照中国人民银行发布的同期同类贷款基准利率的两倍支付违约金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（3）承包人对发包人签认的竣工付款证书有异议的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对于有异议部分应在收到发包人签认的竣工付款证书后7天内提出异议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并由合同当事人按照专用合同条款约定的方式和程序进行复核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或按照第20条〔争议解决〕约定处理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对于无异议部分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发包人应签发临时竣工付款证书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并按本款第（2）项完成付款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承包人逾期未提出异议的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视为认可发包人的审批结果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50" w:name="_Toc12858"/>
      <w:bookmarkStart w:id="251" w:name="_Toc25526"/>
      <w:r>
        <w:rPr>
          <w:rFonts w:hint="eastAsia" w:ascii="宋体" w:hAnsi="宋体" w:eastAsia="宋体" w:cs="宋体"/>
          <w:spacing w:val="14"/>
          <w:sz w:val="24"/>
          <w:szCs w:val="24"/>
        </w:rPr>
        <w:t>14.3 甩项竣工协议</w:t>
      </w:r>
      <w:bookmarkEnd w:id="250"/>
      <w:bookmarkEnd w:id="25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发包人要求甩项竣工的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合同当事人应签订甩项竣工协议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在甩项竣工协议中应明确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合同当事人按照第14.1款〔竣工结算申请〕及14.2款〔竣工结算审核〕的约定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对已完合格工程进行结算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并支付相应合同价款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52" w:name="_Toc6951"/>
      <w:bookmarkStart w:id="253" w:name="_Toc18864"/>
      <w:r>
        <w:rPr>
          <w:rFonts w:hint="eastAsia" w:ascii="宋体" w:hAnsi="宋体" w:eastAsia="宋体" w:cs="宋体"/>
          <w:spacing w:val="14"/>
          <w:sz w:val="24"/>
          <w:szCs w:val="24"/>
        </w:rPr>
        <w:t>14.4 最终结清</w:t>
      </w:r>
      <w:bookmarkEnd w:id="252"/>
      <w:bookmarkEnd w:id="25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14.4.1 最终结清申请单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承包人应在缺陷责任期终止证书颁发后7天内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按专用合同条款约定的份数向发包人提交最终结清申请单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并提供相关证明材料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最终结清申请单应列明质量保证金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应扣除的质量保证金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缺陷责任期内发生的增减费用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（2）发包人对最终结清申请单内容有异议的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有权要求承包人进行修正和提供补充资料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承包人应向发包人提交修正后的最终结清申请单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14.4.2 最终结清证书和支付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发包人应在收到承包人提交的最终结清申请单后14天内完成审批并向承包人颁发最终结清证书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发包人逾期未完成审批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又未提出修改意见的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视为发包人同意承包人提交的最终结清申请单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且自发包人收到承包人提交的最终结清申请单后15天起视为已颁发最终结清证书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发包人应在颁发最终结清证书后7天内完成支付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按照中国人民银行发布的同期同类贷款基准利率支付违约金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逾期支付超过56天的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按照中国人民银行发布的同期同类贷款基准利率的两倍支付违约金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（3）承包人对发包人颁发的最终结清证书有异议的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按第20条〔争议解决〕的约定办理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54" w:name="_Toc9628"/>
      <w:bookmarkStart w:id="255" w:name="_Toc6746"/>
      <w:r>
        <w:rPr>
          <w:rFonts w:hint="eastAsia" w:ascii="宋体" w:hAnsi="宋体" w:eastAsia="宋体" w:cs="宋体"/>
          <w:spacing w:val="14"/>
          <w:sz w:val="24"/>
          <w:szCs w:val="24"/>
        </w:rPr>
        <w:t>15. 缺陷责任与保修</w:t>
      </w:r>
      <w:bookmarkEnd w:id="254"/>
      <w:bookmarkEnd w:id="25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56" w:name="_Toc6108"/>
      <w:bookmarkStart w:id="257" w:name="_Toc546"/>
      <w:r>
        <w:rPr>
          <w:rFonts w:hint="eastAsia" w:ascii="宋体" w:hAnsi="宋体" w:eastAsia="宋体" w:cs="宋体"/>
          <w:spacing w:val="14"/>
          <w:sz w:val="24"/>
          <w:szCs w:val="24"/>
        </w:rPr>
        <w:t>15.1 工程保修的原则</w:t>
      </w:r>
      <w:bookmarkEnd w:id="256"/>
      <w:bookmarkEnd w:id="25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在工程移交发包人后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因承包人原因产生的质量缺陷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承包人应承担质量缺陷责任和保修义务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缺陷责任期届满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承包人仍应按合同约定的工程各部位保修年限承担保修义务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58" w:name="_Toc10997"/>
      <w:bookmarkStart w:id="259" w:name="_Toc22044"/>
      <w:r>
        <w:rPr>
          <w:rFonts w:hint="eastAsia" w:ascii="宋体" w:hAnsi="宋体" w:eastAsia="宋体" w:cs="宋体"/>
          <w:spacing w:val="14"/>
          <w:sz w:val="24"/>
          <w:szCs w:val="24"/>
        </w:rPr>
        <w:t>15.2 缺陷责任期</w:t>
      </w:r>
      <w:bookmarkEnd w:id="258"/>
      <w:bookmarkEnd w:id="25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15.2.1 缺陷责任期从工程通过竣工验收之日起计算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合同当事人应在专用合同条款约定缺陷责任期的具体期限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但该期限最长不超过24个月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单位工程先于全部工程进行验收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经验收合格并交付使用的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该单位工程缺陷责任期自单位工程验收合格之日起算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因承包人原因导致工程无法按合同约定期限进行竣工验收的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缺陷责任期从实际通过竣工验收之日起计算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因发包人原因导致工程无法按合同约定期限进行竣工验收的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在承包人提交竣工验收报告90天后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工程自动进入缺陷责任期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发包人未经竣工验收擅自使用工程的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缺陷责任期自工程转移占有之日起开始计算</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15.2.2缺陷责任期内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由承包人原因造成的缺陷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承包人应负责维修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并承担鉴定及维修费用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如承包人不维修也不承担费用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发包人可按合同约定从保证金或银行保函中扣除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费用超出保证金额的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发包人可按合同约定向承包人进行索赔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承包人维修并承担相应费用后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不免除对工程的损失赔偿责任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发包人有权要求承包人延长缺陷责任期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并应在原缺陷责任期届满前发出延长通知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但缺陷责任期（含延长部分）最长不能超过24个月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由他人原因造成的缺陷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发包人负责组织维修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承包人不承担费用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且发包人不得从保证金中扣除费用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15.2.3 任何一项缺陷或损坏修复后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经检查证明其影响了工程或工程设备的使用性能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承包人应重新进行合同约定的试验和试运行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试验和试运行的全部费用应由责任方承担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15.2.4 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承包人应于缺陷责任期届满后7天内向发包人发出缺陷责任期届满通知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发包人应在收到缺陷责任期满通知后14天内核实承包人是否履行缺陷修复义务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承包人未能履行缺陷修复义务的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发包人有权扣除相应金额的维修费用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发包人应在收到缺陷责任期届满通知后14天内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向承包人颁发缺陷责任期终止证书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60" w:name="_Toc11834"/>
      <w:bookmarkStart w:id="261" w:name="_Toc6136"/>
      <w:r>
        <w:rPr>
          <w:rFonts w:hint="eastAsia" w:ascii="宋体" w:hAnsi="宋体" w:eastAsia="宋体" w:cs="宋体"/>
          <w:spacing w:val="14"/>
          <w:sz w:val="24"/>
          <w:szCs w:val="24"/>
        </w:rPr>
        <w:t>15.3 质量保证金</w:t>
      </w:r>
      <w:bookmarkEnd w:id="260"/>
      <w:bookmarkEnd w:id="26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经合同当事人协商一致扣留质量保证金的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应在专用合同条款中予以明确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在工程项目竣工前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承包人已经提供履约担保的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发包人不得同时预留工程质量保证金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15.3.1 承包人提供质量保证金的方式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承包人提供质量保证金有以下三种方式：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（1）质量保证金保函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（2）相应比例的工程款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（3）双方约定的其他方式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质量保证金原则上采用上述第（1）种方式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15.3.2 质量保证金的扣留</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质量保证金的扣留有以下三种方式：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（1）在支付工程进度款时逐次扣留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在此情形下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质量保证金的计算基数不包括预付款的支付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扣回以及价格调整的金额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（2）工程竣工结算时一次性扣留质量保证金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（3）双方约定的其他扣留方式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发包人在退还质量保证金的同时按照中国人民银行发布的同期同类贷款基准利率支付利息</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15.3.3 质量保证金的退还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缺陷责任期内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承包人认真履行合同约定的责任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到期后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承包人可向发包人申请返还保证金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发包人在接到承包人返还保证金申请后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应于14天内会同承包人按照合同约定的内容进行核实</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如无异议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发包人应当按照约定将保证金返还给承包人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对返还期限没有约定或者约定不明确的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发包人应当在核实后14天内将保证金返还承包人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逾期未返还的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依法承担违约责任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发包人在接到承包人返还保证金申请后14天内不予答复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经催告后14天内仍不予答复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视同认可承包人的返还保证金申请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发包人和承包人对保证金预留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返还以及工程维修质量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费用有争议的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按本合同第20条约定的争议和纠纷解决程序处理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62" w:name="_Toc14256"/>
      <w:bookmarkStart w:id="263" w:name="_Toc17013"/>
      <w:r>
        <w:rPr>
          <w:rFonts w:hint="eastAsia" w:ascii="宋体" w:hAnsi="宋体" w:eastAsia="宋体" w:cs="宋体"/>
          <w:spacing w:val="14"/>
          <w:sz w:val="24"/>
          <w:szCs w:val="24"/>
        </w:rPr>
        <w:t>15.4 保修</w:t>
      </w:r>
      <w:bookmarkEnd w:id="262"/>
      <w:bookmarkEnd w:id="26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15.4.1保修责任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工程保修期从工程竣工验收合格之日起算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具体分部分项工程的保修期由合同当事人在专用合同条款中约定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但不得低于法定最低保修年限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在工程保修期内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承包人应当根据有关法律规定以及合同约定承担保修责任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发包人未经竣工验收擅自使用工程的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保修期自转移占有之日起算</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15.4.2 修复费用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保修期内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修复的费用按照以下约定处理：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（1）保修期内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因承包人原因造成工程的缺陷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损坏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承包人应负责修复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并承担修复的费用以及因工程的缺陷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损坏造成的人身伤害和财产损失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（2）保修期内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因发包人使用不当造成工程的缺陷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损坏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可以委托承包人修复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但发包人应承担修复的费用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（3）因其他原因造成工程的缺陷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损坏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可以委托承包人修复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发包人应承担修复的费用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因工程的缺陷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损坏造成的人身伤害和财产损失由责任方承担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15.4.3 修复通知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在保修期内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发包人在使用过程中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发现已接收的工程存在缺陷或损坏的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应书面通知承包人予以修复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但情况紧急必须立即修复缺陷或损坏的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发包人可以口头通知承包人并在口头通知后48小时内书面确认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承包人应在专用合同条款约定的合理期限内到达工程现场并修复缺陷或损坏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15.4.4 未能修复</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因承包人原因造成工程的缺陷或损坏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承包人拒绝维修或未能在合理期限内修复缺陷或损坏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且经发包人书面催告后仍未修复的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发包人有权自行修复或委托第三方修复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所需费用由承包人承担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但修复范围超出缺陷或损坏范围的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超出范围部分的修复费用由发包人承担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15.4.5 承包人出入权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在保修期内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为了修复缺陷或损坏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承包人有权出入工程现场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除情况紧急必须立即修复缺陷或损坏外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承包人应提前24小时通知发包人进场修复的时间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承包人进入工程现场前应获得发包人同意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且不应影响发包人正常的生产经营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并应遵守发包人有关保安和保密等规定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64" w:name="_Toc289"/>
      <w:bookmarkStart w:id="265" w:name="_Toc31757"/>
      <w:r>
        <w:rPr>
          <w:rFonts w:hint="eastAsia" w:ascii="宋体" w:hAnsi="宋体" w:eastAsia="宋体" w:cs="宋体"/>
          <w:spacing w:val="14"/>
          <w:sz w:val="24"/>
          <w:szCs w:val="24"/>
        </w:rPr>
        <w:t>16. 违约</w:t>
      </w:r>
      <w:bookmarkEnd w:id="264"/>
      <w:bookmarkEnd w:id="26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66" w:name="_Toc4776"/>
      <w:bookmarkStart w:id="267" w:name="_Toc2597"/>
      <w:r>
        <w:rPr>
          <w:rFonts w:hint="eastAsia" w:ascii="宋体" w:hAnsi="宋体" w:eastAsia="宋体" w:cs="宋体"/>
          <w:spacing w:val="14"/>
          <w:sz w:val="24"/>
          <w:szCs w:val="24"/>
        </w:rPr>
        <w:t>16.1 发包人违约</w:t>
      </w:r>
      <w:bookmarkEnd w:id="266"/>
      <w:bookmarkEnd w:id="26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16.1.1 发包人违约的情形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在合同履行过程中发生的下列情形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属于发包人违约：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（1）因发包人原因未能在计划开工日期前7天内下达开工通知的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（2）因发包人原因未能按合同约定支付合同价款的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（3）发包人违反第10.1款〔变更的范围〕第（2）项约定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自行实施被取消的工作或转由他人实施的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（4）发包人提供的材料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工程设备的规格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数量或质量不符合合同约定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或因发包人原因导致交货日期延误或交货地点变更等情况的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（5）因发包人违反合同约定造成暂停施工的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（6）发包人无正当理由没有在约定期限内发出复工指示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导致承包人无法复工的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（7）发包人明确表示或者以其行为表明不履行合同主要义务的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（8）发包人未能按照合同约定履行其他义务的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发包人发生除本项第（7）目以外的违约情况时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承包人可向发包人发出通知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要求发包人采取有效措施纠正违约行为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发包人收到承包人通知后28天内仍不纠正违约行为的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承包人有权暂停相应部位工程施工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并通知监理人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16.1.2 发包人违约的责任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发包人应承担因其违约给承包人增加的费用和（或）延误的工期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此外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合同当事人可在专用合同条款中另行约定发包人违约责任的承担方式和计算方法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16.1.3 因发包人违约解除合同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承包人按第16.1.1项〔发包人违约的情形〕约定暂停施工满28天后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发包人仍不纠正其违约行为并致使合同目的不能实现的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或出现第16.1.1项〔发包人违约的情形〕第（7）目约定的违约情况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承包人有权解除合同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发包人应承担由此增加的费用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并支付承包人合理的利润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16.1.4 因发包人违约解除合同后的付款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承包人按照本款约定解除合同的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发包人应在解除合同后28天内支付下列款项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并解除履约担保：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（1）合同解除前所完成工作的价款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（2）承包人为工程施工订购并已付款的材料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工程设备和其他物品的价款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（3）承包人撤离施工现场以及遣散承包人人员的款项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（4）按照合同约定在合同解除前应支付的违约金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（5）按照合同约定应当支付给承包人的其他款项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（6）按照合同约定应退还的质量保证金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（7）因解除合同给承包人造成的损失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合同当事人未能就解除合同后的结清达成一致的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按照第20条〔争议解决〕的约定处理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承包人应妥善做好已完工程和与工程有关的已购材料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工程设备的保护和移交工作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并将施工设备和人员撤出施工现场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发包人应为承包人撤出提供必要条件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68" w:name="_Toc5635"/>
      <w:bookmarkStart w:id="269" w:name="_Toc7583"/>
      <w:r>
        <w:rPr>
          <w:rFonts w:hint="eastAsia" w:ascii="宋体" w:hAnsi="宋体" w:eastAsia="宋体" w:cs="宋体"/>
          <w:spacing w:val="14"/>
          <w:sz w:val="24"/>
          <w:szCs w:val="24"/>
        </w:rPr>
        <w:t>16.2 承包人违约</w:t>
      </w:r>
      <w:bookmarkEnd w:id="268"/>
      <w:bookmarkEnd w:id="26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16.2.1 承包人违约的情形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在合同履行过程中发生的下列情形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属于承包人违约：</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（1）承包人违反合同约定进行转包或违法分包的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（2）承包人违反合同约定采购和使用不合格的材料和工程设备的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（3）因承包人原因导致工程质量不符合合同要求的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（4）承包人违反第8.9款〔材料与设备专用要求〕的约定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私自将已按照合同约定进入施工现场的材料或设备撤离施工现场的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（5）承包人未能按施工进度计划及时完成合同约定的工作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造成工期延误的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（6）承包人在缺陷责任期及保修期内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未能在合理期限对工程缺陷进行修复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或拒绝按发包人要求进行修复的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（7）承包人明确表示或者以其行为表明不履行合同主要义务的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（8）承包人未能按照合同约定履行其他义务的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承包人发生除本项第（7）目约定以外的其他违约情况时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监理人可向承包人发出整改通知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要求其在指定的期限内改正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16.2.2 承包人违约的责任</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承包人应承担因其违约行为而增加的费用和（或）延误的工期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此外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合同当事人可在专用合同条款中另行约定承包人违约责任的承担方式和计算方法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16.2.3 因承包人违约解除合同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出现第16.2.1项〔承包人违约的情形〕第（7）目约定的违约情况时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或监理人发出整改通知后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承包人在指定的合理期限内仍不纠正违约行为并致使合同目的不能实现的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发包人有权解除合同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合同解除后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因继续完成工程的需要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发包人有权使用承包人在施工现场的材料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承包人文件和由承包人或以其名义编制的其他文件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合同当事人应在专用合同条款约定相应费用的承担方式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发包人继续使用的行为不免除或减轻承包人应承担的违约责任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16.2.4因承包人违约解除合同后的处理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因承包人原因导致合同解除的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则合同当事人应在合同解除后28天内完成估价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付款和清算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并按以下约定执行：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（1）合同解除后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按第4.4款〔商定或确定〕商定或确定承包人实际完成工作对应的合同价款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以及承包人已提供的材料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施工设备和临时工程等的价值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（2）合同解除后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承包人应支付的违约金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（3）合同解除后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因解除合同给发包人造成的损失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（4）合同解除后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承包人应按照发包人要求和监理人的指示完成现场的清理和撤离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（5）发包人和承包人应在合同解除后进行清算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出具最终结清付款证书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结清全部款项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因承包人违约解除合同的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发包人有权暂停对承包人的付款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查清各项付款和已扣款项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发包人和承包人未能就合同解除后的清算和款项支付达成一致的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按照第20条〔争议解决〕的约定处理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16.2.5采购合同权益转让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因承包人违约解除合同的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发包人有权要求承包人将其为实施合同而签订的材料和设备的采购合同的权益转让给发包人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承包人应在收到解除合同通知后14天内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协助发包人与采购合同的供应商达成相关的转让协议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70" w:name="_Toc1417"/>
      <w:bookmarkStart w:id="271" w:name="_Toc14569"/>
      <w:r>
        <w:rPr>
          <w:rFonts w:hint="eastAsia" w:ascii="宋体" w:hAnsi="宋体" w:eastAsia="宋体" w:cs="宋体"/>
          <w:spacing w:val="14"/>
          <w:sz w:val="24"/>
          <w:szCs w:val="24"/>
        </w:rPr>
        <w:t>16.3 第三人造成的违约</w:t>
      </w:r>
      <w:bookmarkEnd w:id="270"/>
      <w:bookmarkEnd w:id="27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在履行合同过程中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一方当事人因第三人的原因造成违约的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应当向对方当事人承担违约责任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一方当事人和第三人之间的纠纷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依照法律规定或者按照约定解决</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72" w:name="_Toc487"/>
      <w:bookmarkStart w:id="273" w:name="_Toc7437"/>
      <w:r>
        <w:rPr>
          <w:rFonts w:hint="eastAsia" w:ascii="宋体" w:hAnsi="宋体" w:eastAsia="宋体" w:cs="宋体"/>
          <w:spacing w:val="14"/>
          <w:sz w:val="24"/>
          <w:szCs w:val="24"/>
        </w:rPr>
        <w:t>17. 不可抗力</w:t>
      </w:r>
      <w:bookmarkEnd w:id="272"/>
      <w:bookmarkEnd w:id="273"/>
      <w:r>
        <w:rPr>
          <w:rFonts w:hint="eastAsia" w:ascii="宋体" w:hAnsi="宋体" w:eastAsia="宋体" w:cs="宋体"/>
          <w:spacing w:val="14"/>
          <w:sz w:val="24"/>
          <w:szCs w:val="24"/>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74" w:name="_Toc27557"/>
      <w:bookmarkStart w:id="275" w:name="_Toc16970"/>
      <w:r>
        <w:rPr>
          <w:rFonts w:hint="eastAsia" w:ascii="宋体" w:hAnsi="宋体" w:eastAsia="宋体" w:cs="宋体"/>
          <w:spacing w:val="14"/>
          <w:sz w:val="24"/>
          <w:szCs w:val="24"/>
        </w:rPr>
        <w:t>17.1 不可抗力的确认</w:t>
      </w:r>
      <w:bookmarkEnd w:id="274"/>
      <w:bookmarkEnd w:id="27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不可抗力是指合同当事人在签订合同时不可预见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在合同履行过程中不可避免且不能克服的自然灾害和社会性突发事件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如地震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海啸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瘟疫</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骚乱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戒严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暴动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战争和专用合同条款中约定的其他情形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不可抗力发生后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发包人和承包人应收集证明不可抗力发生及不可抗力造成损失的证据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并及时认真统计所造成的损失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合同当事人对是否属于不可抗力或其损失的意见不一致的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由监理人按第4.4款〔商定或确定〕的约定处理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发生争议时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按第20条〔争议解决〕的约定处理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76" w:name="_Toc23996"/>
      <w:bookmarkStart w:id="277" w:name="_Toc30625"/>
      <w:r>
        <w:rPr>
          <w:rFonts w:hint="eastAsia" w:ascii="宋体" w:hAnsi="宋体" w:eastAsia="宋体" w:cs="宋体"/>
          <w:spacing w:val="14"/>
          <w:sz w:val="24"/>
          <w:szCs w:val="24"/>
        </w:rPr>
        <w:t>17.2 不可抗力的通知</w:t>
      </w:r>
      <w:bookmarkEnd w:id="276"/>
      <w:bookmarkEnd w:id="27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合同一方当事人遇到不可抗力事件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使其履行合同义务受到阻碍时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应立即通知合同另一方当事人和监理人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书面说明不可抗力和受阻碍的详细情况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并提供必要的证明</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不可抗力持续发生的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合同一方当事人应及时向合同另一方当事人和监理人提交中间报告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说明不可抗力和履行合同受阻的情况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并于不可抗力事件结束后28天内提交最终报告及有关资料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78" w:name="_Toc1746"/>
      <w:bookmarkStart w:id="279" w:name="_Toc10627"/>
      <w:r>
        <w:rPr>
          <w:rFonts w:hint="eastAsia" w:ascii="宋体" w:hAnsi="宋体" w:eastAsia="宋体" w:cs="宋体"/>
          <w:spacing w:val="14"/>
          <w:sz w:val="24"/>
          <w:szCs w:val="24"/>
        </w:rPr>
        <w:t>17.3 不可抗力后果的承担</w:t>
      </w:r>
      <w:bookmarkEnd w:id="278"/>
      <w:bookmarkEnd w:id="27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17.3.1 不可抗力引起的后果及造成的损失由合同当事人按照法律规定及合同约定各自承担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不可抗力发生前已完成的工程应当按照合同约定进行</w:t>
      </w:r>
      <w:r>
        <w:rPr>
          <w:rFonts w:hint="eastAsia" w:ascii="宋体" w:hAnsi="宋体" w:eastAsia="宋体" w:cs="宋体"/>
          <w:spacing w:val="14"/>
          <w:sz w:val="24"/>
          <w:szCs w:val="24"/>
          <w:lang w:eastAsia="zh-CN"/>
        </w:rPr>
        <w:t>计量与支付。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17.3.2 不可抗力导致的人员伤亡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财产损失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费用增加和（或）工期延误等后果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由合同当事人按以下原则承担：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（1）永久工程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已运至施工现场的材料和工程设备的损坏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以及因工程损坏造成的第三人人员伤亡和财产损失由发包人承担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（2）承包人施工设备的损坏由承包人承担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（3）发包人和承包人承担各自人员伤亡和财产的损失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（4）因不可抗力影响承包人履行合同约定的义务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已经引起或将引起工期延误的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应当顺延工期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由此导致承包人停工的费用损失由发包人和承包人合理分担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停工期间必须支付的工人工资由发包人承担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（5）因不可抗力引起或将引起工期延误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发包人要求赶工的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由此增加的赶工费用由发包人承担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（6）承包人在停工期间按照发包人要求照管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清理和修复工程的费用由发包人承担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不可抗力发生后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合同当事人均应采取措施尽量避免和减少损失的扩大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任何一方当事人没有采取有效措施导致损失扩大的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应对扩大的损失承担责任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因合同一方迟延履行合同义务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在迟延履行期间遭遇不可抗力的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不免除其违约责任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80" w:name="_Toc12418"/>
      <w:bookmarkStart w:id="281" w:name="_Toc4107"/>
      <w:r>
        <w:rPr>
          <w:rFonts w:hint="eastAsia" w:ascii="宋体" w:hAnsi="宋体" w:eastAsia="宋体" w:cs="宋体"/>
          <w:spacing w:val="14"/>
          <w:sz w:val="24"/>
          <w:szCs w:val="24"/>
        </w:rPr>
        <w:t>17.4 因不可抗力解除合同</w:t>
      </w:r>
      <w:bookmarkEnd w:id="280"/>
      <w:bookmarkEnd w:id="28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因不可抗力导致合同无法履行连续超过84天或累计超过140天的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发包人和承包人均有权解除合同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合同解除后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由双方当事人按照第4.4款〔商定或确定〕商定或确定发包人应支付的款项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该款项包括：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（1）合同解除前承包人已完成工作的价款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（2）承包人为工程订购的并已交付给承包人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或承包人有责任接受交付的材料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工程设备和其他物品的价款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（3）发包人要求承包人退货或解除订货合同而产生的费用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或因不能退货或解除合同而产生的损失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（4）承包人撤离施工现场以及遣散承包人人员的费用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（5）按照合同约定在合同解除前应支付给承包人的其他款项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（6）扣减承包人按照合同约定应向发包人支付的款项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（7）双方商定或确定的其他款项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合同解除后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发包人应在商定或确定上述款项后28天内完成上述款项的支付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82" w:name="_Toc7067"/>
      <w:bookmarkStart w:id="283" w:name="_Toc21064"/>
      <w:r>
        <w:rPr>
          <w:rFonts w:hint="eastAsia" w:ascii="宋体" w:hAnsi="宋体" w:eastAsia="宋体" w:cs="宋体"/>
          <w:spacing w:val="14"/>
          <w:sz w:val="24"/>
          <w:szCs w:val="24"/>
        </w:rPr>
        <w:t>18. 保险</w:t>
      </w:r>
      <w:bookmarkEnd w:id="282"/>
      <w:bookmarkEnd w:id="28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84" w:name="_Toc28608"/>
      <w:bookmarkStart w:id="285" w:name="_Toc6151"/>
      <w:r>
        <w:rPr>
          <w:rFonts w:hint="eastAsia" w:ascii="宋体" w:hAnsi="宋体" w:eastAsia="宋体" w:cs="宋体"/>
          <w:spacing w:val="14"/>
          <w:sz w:val="24"/>
          <w:szCs w:val="24"/>
        </w:rPr>
        <w:t>18.1 工程保险</w:t>
      </w:r>
      <w:bookmarkEnd w:id="284"/>
      <w:bookmarkEnd w:id="28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发包人应投保建筑工程一切险或安装工程一切险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发包人委托承包人投保的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因投保产生的保险费和其他相关费用由发包人承担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86" w:name="_Toc22971"/>
      <w:bookmarkStart w:id="287" w:name="_Toc18185"/>
      <w:r>
        <w:rPr>
          <w:rFonts w:hint="eastAsia" w:ascii="宋体" w:hAnsi="宋体" w:eastAsia="宋体" w:cs="宋体"/>
          <w:spacing w:val="14"/>
          <w:sz w:val="24"/>
          <w:szCs w:val="24"/>
        </w:rPr>
        <w:t>18.2 工伤保险</w:t>
      </w:r>
      <w:bookmarkEnd w:id="286"/>
      <w:bookmarkEnd w:id="28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18.2.1 发包人应依照法律规定参加工伤保险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并为在施工现场的全部员工办理工伤保险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缴纳工伤保险费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并要求监理人及由发包人为履行合同聘请的第三方依法参加工伤保险</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18.2.2 承包人应依照法律规定参加工伤保险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并为其履行合同的全部员工办理工伤保险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缴纳工伤保险费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并要求分包人及由承包人为履行合同聘请的第三方依法参加工伤保险</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88" w:name="_Toc29921"/>
      <w:bookmarkStart w:id="289" w:name="_Toc18387"/>
      <w:r>
        <w:rPr>
          <w:rFonts w:hint="eastAsia" w:ascii="宋体" w:hAnsi="宋体" w:eastAsia="宋体" w:cs="宋体"/>
          <w:spacing w:val="14"/>
          <w:sz w:val="24"/>
          <w:szCs w:val="24"/>
        </w:rPr>
        <w:t>18.3其他保险</w:t>
      </w:r>
      <w:bookmarkEnd w:id="288"/>
      <w:bookmarkEnd w:id="28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发包人和承包人可以为其施工现场的全部人员办理意外伤害保险并支付保险费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包括其员工及为履行合同聘请的第三方的人员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具体事项由合同当事人在专用合同条款约定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承包人应为其施工设备等办理财产保险</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90" w:name="_Toc944"/>
      <w:bookmarkStart w:id="291" w:name="_Toc24550"/>
      <w:r>
        <w:rPr>
          <w:rFonts w:hint="eastAsia" w:ascii="宋体" w:hAnsi="宋体" w:eastAsia="宋体" w:cs="宋体"/>
          <w:spacing w:val="14"/>
          <w:sz w:val="24"/>
          <w:szCs w:val="24"/>
        </w:rPr>
        <w:t>18.4持续保险</w:t>
      </w:r>
      <w:bookmarkEnd w:id="290"/>
      <w:bookmarkEnd w:id="29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合同当事人应与保险人保持联系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使保险人能够随时了解工程实施中的变动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并确保按保险合同条款要求持续保险</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92" w:name="_Toc32075"/>
      <w:bookmarkStart w:id="293" w:name="_Toc29549"/>
      <w:r>
        <w:rPr>
          <w:rFonts w:hint="eastAsia" w:ascii="宋体" w:hAnsi="宋体" w:eastAsia="宋体" w:cs="宋体"/>
          <w:spacing w:val="14"/>
          <w:sz w:val="24"/>
          <w:szCs w:val="24"/>
        </w:rPr>
        <w:t>18.5 保险凭证</w:t>
      </w:r>
      <w:bookmarkEnd w:id="292"/>
      <w:bookmarkEnd w:id="29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合同当事人应及时向另一方当事人提交其已投保的各项保险的凭证和保险单复印件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94" w:name="_Toc24619"/>
      <w:bookmarkStart w:id="295" w:name="_Toc3635"/>
      <w:r>
        <w:rPr>
          <w:rFonts w:hint="eastAsia" w:ascii="宋体" w:hAnsi="宋体" w:eastAsia="宋体" w:cs="宋体"/>
          <w:spacing w:val="14"/>
          <w:sz w:val="24"/>
          <w:szCs w:val="24"/>
        </w:rPr>
        <w:t>18.6 未按约定投保的补救</w:t>
      </w:r>
      <w:bookmarkEnd w:id="294"/>
      <w:bookmarkEnd w:id="29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18.6.1发包人未按合同约定办理保险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或未能使保险持续有效的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则承包人可代为办理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所需费用由发包人承担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发包人未按合同约定办理保险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导致未能得到足额赔偿的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由发包人负责补足</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18.6.2承包人未按合同约定办理保险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或未能使保险持续有效的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则发包人可代为办理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所需费用由承包人承担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承包人未按合同约定办理保险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导致未能得到足额赔偿的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由承包人负责补足</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296" w:name="_Toc29893"/>
      <w:bookmarkStart w:id="297" w:name="_Toc19066"/>
      <w:r>
        <w:rPr>
          <w:rFonts w:hint="eastAsia" w:ascii="宋体" w:hAnsi="宋体" w:eastAsia="宋体" w:cs="宋体"/>
          <w:spacing w:val="14"/>
          <w:sz w:val="24"/>
          <w:szCs w:val="24"/>
        </w:rPr>
        <w:t>18.7 通知义务</w:t>
      </w:r>
      <w:bookmarkEnd w:id="296"/>
      <w:bookmarkEnd w:id="29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发包人变更除工伤保险之外的保险合同时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应事先征得承包人同意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承包人变更除工伤保险之外的保险合同时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应事先征得发包人同意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并通知监理人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保险事故发生时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投保人应按照保险合同规定的条件和期限及时向保险人报告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发包人和承包人应当在知道保险事故发生后及时通知对方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298" w:name="_Toc22502"/>
      <w:bookmarkStart w:id="299" w:name="_Toc14952"/>
      <w:r>
        <w:rPr>
          <w:rFonts w:hint="eastAsia" w:ascii="宋体" w:hAnsi="宋体" w:eastAsia="宋体" w:cs="宋体"/>
          <w:spacing w:val="14"/>
          <w:sz w:val="24"/>
          <w:szCs w:val="24"/>
        </w:rPr>
        <w:t>19. 索赔</w:t>
      </w:r>
      <w:bookmarkEnd w:id="298"/>
      <w:bookmarkEnd w:id="29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00" w:name="_Toc17303"/>
      <w:bookmarkStart w:id="301" w:name="_Toc25430"/>
      <w:r>
        <w:rPr>
          <w:rFonts w:hint="eastAsia" w:ascii="宋体" w:hAnsi="宋体" w:eastAsia="宋体" w:cs="宋体"/>
          <w:spacing w:val="14"/>
          <w:sz w:val="24"/>
          <w:szCs w:val="24"/>
        </w:rPr>
        <w:t>19.1承包人的索赔</w:t>
      </w:r>
      <w:bookmarkEnd w:id="300"/>
      <w:bookmarkEnd w:id="30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根据合同约定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承包人认为有权得到追加付款和（或）延长工期的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应按以下程序向发包人提出索赔：</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（1）承包人应在知道或应当知道索赔事件发生后28天内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向监理人递交索赔意向通知书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并说明发生索赔事件的事由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承包人未在前述28天内发出索赔意向通知书的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丧失要求追加付款和（或）延长工期的权利</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（2）承包人应在发出索赔意向通知书后28天内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向监理人正式递交索赔报告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索赔报告应详细说明索赔理由以及要求追加的付款金额和（或）延长的工期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并附必要的记录和证明材料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（3）索赔事件具有持续影响的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承包人应按合理时间间隔继续递交延续索赔通知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说明持续影响的实际情况和记录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列出累计的追加付款金额和（或）工期延长天数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（4）在索赔事件影响结束后28天内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承包人应向监理人递交最终索赔报告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说明最终要求索赔的追加付款金额和（或）延长的工期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并附必要的记录和证明材料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02" w:name="_Toc26065"/>
      <w:bookmarkStart w:id="303" w:name="_Toc11899"/>
      <w:r>
        <w:rPr>
          <w:rFonts w:hint="eastAsia" w:ascii="宋体" w:hAnsi="宋体" w:eastAsia="宋体" w:cs="宋体"/>
          <w:spacing w:val="14"/>
          <w:sz w:val="24"/>
          <w:szCs w:val="24"/>
        </w:rPr>
        <w:t>19.2 对承包人索赔的处理</w:t>
      </w:r>
      <w:bookmarkEnd w:id="302"/>
      <w:bookmarkEnd w:id="30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对承包人索赔的处理如下：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（1）监理人应在收到索赔报告后14天内完成审查并报送发包人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监理人对索赔报告存在异议的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有权要求承包人提交全部原始记录副本</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（2）发包人应在监理人收到索赔报告或有关索赔的进一步证明材料后的28天内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由监理人向承包人出具经发包人签认的索赔处理结果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发包人逾期答复的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则视为认可承包人的索赔要求</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（3）承包人接受索赔处理结果的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索赔款项在当期进度款中进行支付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承包人不接受索赔处理结果的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按照第20条〔争议解决〕约定处理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04" w:name="_Toc11182"/>
      <w:bookmarkStart w:id="305" w:name="_Toc8434"/>
      <w:r>
        <w:rPr>
          <w:rFonts w:hint="eastAsia" w:ascii="宋体" w:hAnsi="宋体" w:eastAsia="宋体" w:cs="宋体"/>
          <w:spacing w:val="14"/>
          <w:sz w:val="24"/>
          <w:szCs w:val="24"/>
        </w:rPr>
        <w:t>19.3发包人的索赔</w:t>
      </w:r>
      <w:bookmarkEnd w:id="304"/>
      <w:bookmarkEnd w:id="30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根据合同约定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发包人认为有权得到赔付金额和（或）延长缺陷责任期的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监理人应向承包人发出通知并附有详细的证明</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发包人应在知道或应当知道索赔事件发生后28天内通过监理人向承包人提出索赔意向通知书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发包人未在前述28天内发出索赔意向通知书的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丧失要求赔付金额和（或）延长缺陷责任期的权利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发包人应在发出索赔意向通知书后28天内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通过监理人向承包人正式递交索赔报告</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06" w:name="_Toc7369"/>
      <w:bookmarkStart w:id="307" w:name="_Toc32550"/>
      <w:r>
        <w:rPr>
          <w:rFonts w:hint="eastAsia" w:ascii="宋体" w:hAnsi="宋体" w:eastAsia="宋体" w:cs="宋体"/>
          <w:spacing w:val="14"/>
          <w:sz w:val="24"/>
          <w:szCs w:val="24"/>
        </w:rPr>
        <w:t>19.4 对发包人索赔的处理</w:t>
      </w:r>
      <w:bookmarkEnd w:id="306"/>
      <w:bookmarkEnd w:id="30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对发包人索赔的处理如下：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（1）承包人收到发包人提交的索赔报告后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应及时审查索赔报告的内容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查验发包人证明材料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（2）承包人应在收到索赔报告或有关索赔的进一步证明材料后28天内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将索赔处理结果答复发包人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如果承包人未在上述期限内作出答复的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则视为对发包人索赔要求的认可</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（3）承包人接受索赔处理结果的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发包人可从应支付给承包人的合同价款中扣除赔付的金额或延长缺陷责任期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发包人不接受索赔处理结果的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按第20条〔争议解决〕约定处理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08" w:name="_Toc706"/>
      <w:bookmarkStart w:id="309" w:name="_Toc21889"/>
      <w:r>
        <w:rPr>
          <w:rFonts w:hint="eastAsia" w:ascii="宋体" w:hAnsi="宋体" w:eastAsia="宋体" w:cs="宋体"/>
          <w:spacing w:val="14"/>
          <w:sz w:val="24"/>
          <w:szCs w:val="24"/>
        </w:rPr>
        <w:t>19.5 提出索赔的期限</w:t>
      </w:r>
      <w:bookmarkEnd w:id="308"/>
      <w:bookmarkEnd w:id="30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（1）承包人按第14.2款〔竣工结算审核〕约定接收竣工付款证书后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应被视为已无权再提出在工程接收证书颁发前所发生的任何索赔</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（2）承包人按第14.4款〔最终结清〕提交的最终结清申请单中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只限于提出工程接收证书颁发后发生的索赔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提出索赔的期限自接受最终结清证书时终止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10" w:name="_Toc24666"/>
      <w:bookmarkStart w:id="311" w:name="_Toc2762"/>
      <w:r>
        <w:rPr>
          <w:rFonts w:hint="eastAsia" w:ascii="宋体" w:hAnsi="宋体" w:eastAsia="宋体" w:cs="宋体"/>
          <w:spacing w:val="14"/>
          <w:sz w:val="24"/>
          <w:szCs w:val="24"/>
        </w:rPr>
        <w:t>20. 争议解决</w:t>
      </w:r>
      <w:bookmarkEnd w:id="310"/>
      <w:bookmarkEnd w:id="31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12" w:name="_Toc21892"/>
      <w:bookmarkStart w:id="313" w:name="_Toc12680"/>
      <w:r>
        <w:rPr>
          <w:rFonts w:hint="eastAsia" w:ascii="宋体" w:hAnsi="宋体" w:eastAsia="宋体" w:cs="宋体"/>
          <w:spacing w:val="14"/>
          <w:sz w:val="24"/>
          <w:szCs w:val="24"/>
        </w:rPr>
        <w:t>20.1和解</w:t>
      </w:r>
      <w:bookmarkEnd w:id="312"/>
      <w:bookmarkEnd w:id="31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合同当事人可以就争议自行和解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自行和解达成协议的经双方签字并盖章后作为合同补充文件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双方均应遵照执行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14" w:name="_Toc13974"/>
      <w:bookmarkStart w:id="315" w:name="_Toc31421"/>
      <w:r>
        <w:rPr>
          <w:rFonts w:hint="eastAsia" w:ascii="宋体" w:hAnsi="宋体" w:eastAsia="宋体" w:cs="宋体"/>
          <w:spacing w:val="14"/>
          <w:sz w:val="24"/>
          <w:szCs w:val="24"/>
        </w:rPr>
        <w:t>20.2调解</w:t>
      </w:r>
      <w:bookmarkEnd w:id="314"/>
      <w:bookmarkEnd w:id="31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合同当事人可以就争议请求建设行政主管部门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行业协会或其他第三方进行调解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调解达成协议的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经双方签字并盖章后作为合同补充文件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双方均应遵照执行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16" w:name="_Toc14595"/>
      <w:bookmarkStart w:id="317" w:name="_Toc3226"/>
      <w:r>
        <w:rPr>
          <w:rFonts w:hint="eastAsia" w:ascii="宋体" w:hAnsi="宋体" w:eastAsia="宋体" w:cs="宋体"/>
          <w:spacing w:val="14"/>
          <w:sz w:val="24"/>
          <w:szCs w:val="24"/>
        </w:rPr>
        <w:t>20.3争议评审</w:t>
      </w:r>
      <w:bookmarkEnd w:id="316"/>
      <w:bookmarkEnd w:id="31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合同当事人在专用合同条款中约定采取争议评审方式解决争议以及评审规则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并按下列约定执行：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20.3.1 争议评审小组的确定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合同当事人可以共同选择一名或三名争议评审员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组成争议评审小组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合同当事人应当自合同签订后28天内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或者争议发生后14天内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选定争议评审员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选择一名争议评审员的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由合同当事人共同确定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选择三名争议评审员的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各自选定一名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第三名成员为首席争议评审员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由合同当事人共同确定或由合同当事人委托已选定的争议评审员共同确定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或由专用合同条款约定的评审机构指定第三名首席争议评审员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评审员报酬由发包人和承包人各承担一半</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20.3.2 争议评审小组的决定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合同当事人可在任何时间将与合同有关的任何争议共同提请争议评审小组进行评审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争议评审小组应秉持客观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公正原则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充分听取合同当事人的意见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依据相关法律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规范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案例经验及商业惯例等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自收到争议评审申请报告后14天内作出书面决定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并说明理由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合同当事人可以在专用合同条款中对本项事项另行约定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20.3.3 争议评审小组决定的效力</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争议评审小组作出的书面决定经合同当事人签字确认后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对双方具有约束力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双方应遵照执行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任何一方当事人不接受争议评审小组决定或不履行争议评审小组决定的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双方可选择采用其他争议解决方式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18" w:name="_Toc31222"/>
      <w:bookmarkStart w:id="319" w:name="_Toc11792"/>
      <w:r>
        <w:rPr>
          <w:rFonts w:hint="eastAsia" w:ascii="宋体" w:hAnsi="宋体" w:eastAsia="宋体" w:cs="宋体"/>
          <w:spacing w:val="14"/>
          <w:sz w:val="24"/>
          <w:szCs w:val="24"/>
        </w:rPr>
        <w:t>20.4仲裁或诉讼</w:t>
      </w:r>
      <w:bookmarkEnd w:id="318"/>
      <w:bookmarkEnd w:id="31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因合同及合同有关事项产生的争议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合同当事人可以在专用合同条款中约定以下一种方式解决争议：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（1）向约定的仲裁委员会申请仲裁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（2）向有管辖权的人民法院起诉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20" w:name="_Toc29080"/>
      <w:bookmarkStart w:id="321" w:name="_Toc10109"/>
      <w:r>
        <w:rPr>
          <w:rFonts w:hint="eastAsia" w:ascii="宋体" w:hAnsi="宋体" w:eastAsia="宋体" w:cs="宋体"/>
          <w:spacing w:val="14"/>
          <w:sz w:val="24"/>
          <w:szCs w:val="24"/>
        </w:rPr>
        <w:t>20.5争议解决条款效力</w:t>
      </w:r>
      <w:bookmarkEnd w:id="320"/>
      <w:bookmarkEnd w:id="32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合同有关争议解决的条款独立存在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合同的变更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解除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终止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无效或者被撤销均不影响其效力</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0"/>
        <w:rPr>
          <w:rFonts w:hint="eastAsia" w:ascii="宋体" w:hAnsi="宋体" w:eastAsia="宋体" w:cs="宋体"/>
          <w:b/>
          <w:bCs/>
          <w:spacing w:val="14"/>
          <w:sz w:val="24"/>
          <w:szCs w:val="24"/>
        </w:rPr>
      </w:pPr>
      <w:bookmarkStart w:id="322" w:name="_Toc14322"/>
      <w:bookmarkStart w:id="323" w:name="_Toc25271"/>
      <w:r>
        <w:rPr>
          <w:rFonts w:hint="eastAsia" w:ascii="宋体" w:hAnsi="宋体" w:eastAsia="宋体" w:cs="宋体"/>
          <w:b/>
          <w:bCs/>
          <w:spacing w:val="14"/>
          <w:sz w:val="24"/>
          <w:szCs w:val="24"/>
        </w:rPr>
        <w:t>第三部分 专用合同条款</w:t>
      </w:r>
      <w:bookmarkEnd w:id="322"/>
      <w:bookmarkEnd w:id="32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24" w:name="_Toc26316"/>
      <w:bookmarkStart w:id="325" w:name="_Toc22531"/>
      <w:r>
        <w:rPr>
          <w:rFonts w:hint="eastAsia" w:ascii="宋体" w:hAnsi="宋体" w:eastAsia="宋体" w:cs="宋体"/>
          <w:spacing w:val="14"/>
          <w:sz w:val="24"/>
          <w:szCs w:val="24"/>
        </w:rPr>
        <w:t>1. 一般约定</w:t>
      </w:r>
      <w:bookmarkEnd w:id="324"/>
      <w:bookmarkEnd w:id="32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26" w:name="_Toc27815"/>
      <w:bookmarkStart w:id="327" w:name="_Toc30129"/>
      <w:r>
        <w:rPr>
          <w:rFonts w:hint="eastAsia" w:ascii="宋体" w:hAnsi="宋体" w:eastAsia="宋体" w:cs="宋体"/>
          <w:spacing w:val="14"/>
          <w:sz w:val="24"/>
          <w:szCs w:val="24"/>
        </w:rPr>
        <w:t>1.1 词语定义</w:t>
      </w:r>
      <w:bookmarkEnd w:id="326"/>
      <w:bookmarkEnd w:id="32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1.1.1 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第1.1.1.6 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技术规范：指本合同所约定的技术标准和要求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是合同文件的组成部分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通用合同条款中“技术标准和要求”一词具有相同含义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第1.1.1.8 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已标价工程量清单：指构成合同文件组成部分的已标明价格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经算术性错误修正及其他错误修正（如有）且承包人已确认的最终的工程量清单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包括工程量清单说明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投标报价说明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计日工说明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其他说明及工程量清单各项表格（工程量清单表 5.1～表 5.5）</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本项补充第 1.1.1.10 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1.1.1.10 补遗书：指发出招标文件之后由招标人向已取得招标文件的投标人发出的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编号的对招标文件所作的澄清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修改书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1.1.2 合同当事人和人员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本项补充第 1.1.2.8 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1.1.2.8 承包人项目总工：指由承包人书面委派常驻现场负责管理本合同工程的总工程师或技术总负责人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1.1.3 工程和设备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1.1.3.4 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单位工程：指在建设项目中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根据签订的合同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具有独立施工条件的工程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1.1.3.10 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永久占地：指为实施本合同工程而需要的一切永久占用的土地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包括公路两侧路权范围内的用地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1.1.3.11 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临时占地：指为实施本合同工程而需要的一切临时占用的土地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包括施工所用的临时支线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便道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便桥和现场的临时出入通道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以及生产（办公）</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生活等临时设施用地等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本项补充第 1.1.3.12 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1.1.3.13 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1.1.3.12 分部工程：指在单位工程中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按结构部位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路段长度及施工特点或施工任务划分的若干个工程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1.1.3.13 分项工程：指在分部工程中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按不同的施工方法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工序及路段长度等划分的若干个工程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1.1.6 其他</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本项补充第 1.1.6.2 目～第 1.1.6.9 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1.1.6.2 竣工验收：指《公路工程竣（交）工验收办法》中的竣工验收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通用合同条款中“国家验收”一词具有相同含义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1.1.6.3 交工：指《公路工程竣（交）工验收办法》中的交工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通用合同条款中“竣工”一词具有相同含义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1.1.6.4 交工验收：指《公路工程竣（交）工验收办法》中的交工验收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通用合同条款中“竣工验收”一词具有相同含义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1.1.6.5 交工验收证书：指《公路工程竣（交）工验收办法》中的交工验收证书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通用合同条款中“工程接收证书”一词具有相同含义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1.1.6.6 转包：指承包人违反法律和不履行合同规定的责任和义务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将中标工程全部委托或以专业分包的名义将中标工程肢解后全部委托给其他施工企业施工的行为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1.1.6.7 专业分包：指承包人与具有相应资格的施工企业签订专业分包合同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由分包人承担承包人委托的分部工程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分项工程或适合专业化队伍施工的其他工程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整体结算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并能独立控制工程质量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施工进度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材料采购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生产安全的施工行为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1.1.6.8 劳务分包：指承包人与具有施工劳务资质的劳务企业签订劳务分包合同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由劳务企业提供劳务人员及机具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由承包人统一组织施工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统一控制工程质量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施工进度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材料采购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生产安全的施工行为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1.1.6.9 雇用民工：指承包人与具有相应劳动能力的自然人签订劳动合同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由承包人统一组织管理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从事分项工程施工或配套工程施工的行为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28" w:name="_Toc9638"/>
      <w:bookmarkStart w:id="329" w:name="_Toc585"/>
      <w:r>
        <w:rPr>
          <w:rFonts w:hint="eastAsia" w:ascii="宋体" w:hAnsi="宋体" w:eastAsia="宋体" w:cs="宋体"/>
          <w:spacing w:val="14"/>
          <w:sz w:val="24"/>
          <w:szCs w:val="24"/>
        </w:rPr>
        <w:t>1.4 合同文件的优先顺序</w:t>
      </w:r>
      <w:bookmarkEnd w:id="328"/>
      <w:bookmarkEnd w:id="32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组成合同的各项文件应互相解释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互为说明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除项目专用合同条款另有约定外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解释合同文件的优先顺序如下：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（1）合同协议书及各种合同附件（含评标期间和合同谈判过程中的澄清文件和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补充资料）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（2）中标通知书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（3）投标函及投标函附录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（4）项目专用合同条款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（5）公路工程专用合同条款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（6）通用合同条款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（7）工程量清单计量规则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（8）技术规范</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（9）图纸</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（10）已标价工程量清单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（11）承包人有关人员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设备投入的承诺及投标文件中的施工组织设计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（12）其他合同文件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30" w:name="_Toc21910"/>
      <w:bookmarkStart w:id="331" w:name="_Toc20633"/>
      <w:r>
        <w:rPr>
          <w:rFonts w:hint="eastAsia" w:ascii="宋体" w:hAnsi="宋体" w:eastAsia="宋体" w:cs="宋体"/>
          <w:spacing w:val="14"/>
          <w:sz w:val="24"/>
          <w:szCs w:val="24"/>
        </w:rPr>
        <w:t>1.5 合同协议书</w:t>
      </w:r>
      <w:bookmarkEnd w:id="330"/>
      <w:bookmarkEnd w:id="33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制备本合同文件的费用由发包人承担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在合同协议书签订并生效之前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投标函和中标通知书将对双方具有约束力</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32" w:name="_Toc13811"/>
      <w:bookmarkStart w:id="333" w:name="_Toc27019"/>
      <w:r>
        <w:rPr>
          <w:rFonts w:hint="eastAsia" w:ascii="宋体" w:hAnsi="宋体" w:eastAsia="宋体" w:cs="宋体"/>
          <w:spacing w:val="14"/>
          <w:sz w:val="24"/>
          <w:szCs w:val="24"/>
        </w:rPr>
        <w:t>1.6 图纸和承包人文件</w:t>
      </w:r>
      <w:bookmarkEnd w:id="332"/>
      <w:bookmarkEnd w:id="33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 图纸的提供</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监理人应在发出中标通知书之后 42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向承包人免费提供由发包人或其委托的设计单位设计的施工图纸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技术规范和其他技术资料 2 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并向承包人进行技术交底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承包人需要更多份数时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应自费复制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由于发包人未按时提供图纸造成工期延误的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 11.3 款的约定办理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1.6.2 承包人提供的文件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有下列情形之一的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承包人应免费向监理人提交相关部分工程的施工图纸 3 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并附必要的计算书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技术资料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或施工工艺图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设备安装图及安装设备的使用和维护手册各 2 份供监理人批准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（1）为使第 1.6.1 项所述的施工图纸适合于经施工测量后的纵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横断面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（2）为使第 1.6.1 项所述的施工图纸适合于现场具体地形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（3）为使第 1.6.1 项所述的施工图纸适合于因尺寸与位置变化而引起局部变更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（4）由于合同要求与施工需要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此类图纸应按监理人规定的格式和图幅绘制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监理人在收到由承包人绘制的上述工程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工艺图纸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计算书和有关技术资料后 14 天内应予批准或提出修改要求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承包人应按监理人提出的要求作出修改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重新向监理人提交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 7 天内批准或提出进一步的修改意见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1.6.4 图纸的错误</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当承包人在查阅合同文件或在本合同工程实施过程中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发现有关的工程设计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技术规范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图纸或其他资料中的任何差错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遗漏或缺陷后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应及时通知监理人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监理人接到该通知后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应立即就此作出决定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并通知承包人和发包人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34" w:name="_Toc12931"/>
      <w:bookmarkStart w:id="335" w:name="_Toc387"/>
      <w:r>
        <w:rPr>
          <w:rFonts w:hint="eastAsia" w:ascii="宋体" w:hAnsi="宋体" w:eastAsia="宋体" w:cs="宋体"/>
          <w:spacing w:val="14"/>
          <w:sz w:val="24"/>
          <w:szCs w:val="24"/>
        </w:rPr>
        <w:t>1.9 严禁贿赂</w:t>
      </w:r>
      <w:bookmarkEnd w:id="334"/>
      <w:bookmarkEnd w:id="33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在合同执行过程中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发包人和承包人应严格履行《廉政合同》约定的双方在廉政建设方面的权利和义务以及应承担的违约责任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承包人如果用行贿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送礼或其他不正当手段企图影响或已经影响了发包人或监理人的行为和（或）欲获得或已获得超出合同规定以外的额外费用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则发包人应按有关法纪严肃处理当事人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且承包人应对其上述行为造成的工程损害</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发包人的经济损失等承担一切责任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并予赔偿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情节严重者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发包人有权终止承包人在本合同项下的承包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36" w:name="_Toc32227"/>
      <w:bookmarkStart w:id="337" w:name="_Toc24907"/>
      <w:r>
        <w:rPr>
          <w:rFonts w:hint="eastAsia" w:ascii="宋体" w:hAnsi="宋体" w:eastAsia="宋体" w:cs="宋体"/>
          <w:spacing w:val="14"/>
          <w:sz w:val="24"/>
          <w:szCs w:val="24"/>
        </w:rPr>
        <w:t>2. 发包人义务</w:t>
      </w:r>
      <w:bookmarkEnd w:id="336"/>
      <w:bookmarkEnd w:id="33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38" w:name="_Toc8501"/>
      <w:bookmarkStart w:id="339" w:name="_Toc17366"/>
      <w:r>
        <w:rPr>
          <w:rFonts w:hint="eastAsia" w:ascii="宋体" w:hAnsi="宋体" w:eastAsia="宋体" w:cs="宋体"/>
          <w:spacing w:val="14"/>
          <w:sz w:val="24"/>
          <w:szCs w:val="24"/>
        </w:rPr>
        <w:t>2.3 提供施工场地</w:t>
      </w:r>
      <w:bookmarkEnd w:id="338"/>
      <w:bookmarkEnd w:id="33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发包人负责办理永久占地的征用及与之有关的拆迁赔偿手续并承担相关费用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承包人在按第 10 条规定提交施工进度计划的同时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应向监理人提交一份按施工先后次序所需的永久占地计划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监理人应在收到此计划后的 14 天内审核并转报发包人核备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发包人应在监理人发出本工程或分部工程开工通知之前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对承包人开工所需的永久占地办妥征用手续和相关拆迁赔偿手续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通知承包人使用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以使承包人能够及时开工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此后按承包人提交并经监理人同意的合同进度计划的安排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分期（也可以一次）将施工所需的其余永久占地办妥征用以及拆迁赔偿手续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通知承包人使用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以使承包人能够连续不间断地施工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由于承包人施工考虑不周或措施不当等原因而造成的超计划占地或拆迁等所发生的征用和赔偿费用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由于发包人未能按照本项规定办妥永久占地征用手续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影响承包人及时使用永久占地造成的费用增加和（或）工期延误应由发包人承担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由于承包人未能按照本项规定提交占地计划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影响发包人办理永久占地征用手续造成的费用增加和（或）工期延误由承包人承担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40" w:name="_Toc4001"/>
      <w:bookmarkStart w:id="341" w:name="_Toc26872"/>
      <w:r>
        <w:rPr>
          <w:rFonts w:hint="eastAsia" w:ascii="宋体" w:hAnsi="宋体" w:eastAsia="宋体" w:cs="宋体"/>
          <w:spacing w:val="14"/>
          <w:sz w:val="24"/>
          <w:szCs w:val="24"/>
        </w:rPr>
        <w:t>3. 监理人</w:t>
      </w:r>
      <w:bookmarkEnd w:id="340"/>
      <w:bookmarkEnd w:id="34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42" w:name="_Toc1810"/>
      <w:bookmarkStart w:id="343" w:name="_Toc5651"/>
      <w:r>
        <w:rPr>
          <w:rFonts w:hint="eastAsia" w:ascii="宋体" w:hAnsi="宋体" w:eastAsia="宋体" w:cs="宋体"/>
          <w:spacing w:val="14"/>
          <w:sz w:val="24"/>
          <w:szCs w:val="24"/>
        </w:rPr>
        <w:t>3.1 监理人的职责和权力</w:t>
      </w:r>
      <w:bookmarkEnd w:id="342"/>
      <w:bookmarkEnd w:id="34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3.1.1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监理人在行使下列权力前需要经发包人事先批准：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（1）根据第 4.3 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同意分包本工程的某些非关键性工作或者适合专业化队伍施工的专项工程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（2）确定第 4.11 款下产生的费用增加额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（3）根据第 11.1 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12.3 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12.4 款发布开工通知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暂停施工指示或复工通知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（4）决定第 11.3 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11.4 款下的工期延长</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（5）审查批准技术方案或设计的变更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（6）根据第 15.3 款发出的变更指示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其单项工程变更或累计变更涉及的金额超过了项目专用合同条款数据表中规定的金额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（7）确定第 15.4 款下变更工作的单价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（8）按照第 15.6 款决定有关暂列金额的使用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（9）确定第 15.8 款下的暂估价金额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（10）确定第 23.1 款下的索赔额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如果发生紧急情况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监理人认为将造成人员伤亡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或危及本工程或邻近的财产需立即采取行动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监理人有权在未征得发包人的批准的情况下发布处理紧急情况所必需的指令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承包人应予执行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由此造成的费用增加由监理人按第 3.5 款商定或确定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44" w:name="_Toc27885"/>
      <w:bookmarkStart w:id="345" w:name="_Toc14608"/>
      <w:r>
        <w:rPr>
          <w:rFonts w:hint="eastAsia" w:ascii="宋体" w:hAnsi="宋体" w:eastAsia="宋体" w:cs="宋体"/>
          <w:spacing w:val="14"/>
          <w:sz w:val="24"/>
          <w:szCs w:val="24"/>
        </w:rPr>
        <w:t>3.5 商定或确定</w:t>
      </w:r>
      <w:bookmarkEnd w:id="344"/>
      <w:bookmarkEnd w:id="34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3.5.1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如果这项商定或确定导致费用增加和（或）工期延长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或者涉及确定变更工程的价格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则总监理工程师在发出通知前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应征得发包人的同意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46" w:name="_Toc211"/>
      <w:bookmarkStart w:id="347" w:name="_Toc27342"/>
      <w:r>
        <w:rPr>
          <w:rFonts w:hint="eastAsia" w:ascii="宋体" w:hAnsi="宋体" w:eastAsia="宋体" w:cs="宋体"/>
          <w:spacing w:val="14"/>
          <w:sz w:val="24"/>
          <w:szCs w:val="24"/>
        </w:rPr>
        <w:t>4. 承包人</w:t>
      </w:r>
      <w:bookmarkEnd w:id="346"/>
      <w:bookmarkEnd w:id="34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48" w:name="_Toc8942"/>
      <w:bookmarkStart w:id="349" w:name="_Toc3172"/>
      <w:r>
        <w:rPr>
          <w:rFonts w:hint="eastAsia" w:ascii="宋体" w:hAnsi="宋体" w:eastAsia="宋体" w:cs="宋体"/>
          <w:spacing w:val="14"/>
          <w:sz w:val="24"/>
          <w:szCs w:val="24"/>
        </w:rPr>
        <w:t>4.1 承包人的一般义务</w:t>
      </w:r>
      <w:bookmarkEnd w:id="348"/>
      <w:bookmarkEnd w:id="34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4.1.9 工程的维护和照管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（1）交工验收证书颁发前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承包人应负责照管和维护工程及将用于或安装在本工程中的材料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交工验收证书颁发时尚有部分未交工工程的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承包人还应负责该未交工工程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设备的照管和维护工作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直至交工后移交给发包人为止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（2）在承包人负责照管与维护期间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如果本工程或材料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设备等发生损失或损害</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除不可抗力原因之外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承包人均应自费弥补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并达到合同要求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承包人还应对按第 19 条规定而实施作业过程中由承包人造成的对工程的任何损失或损害负责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4.1.10 其他义务</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（1）临时占地由承包人向当地政府土地管理部门申请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并办理租用手续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承包人按有关规定直接支付其费用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发包人对此将予以协调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临时占地范围包括承包人驻地的办公室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食堂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宿舍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道路和机械设备停放场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材料堆放场地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弃土场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预制场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拌和场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仓库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进场临时道路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临时便道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便桥等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承包人应在“临时占地计划表”范围内按实际需要与先后次序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提出具体计划报监理人同意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并报发包人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临时占地的面积和使用期应满足工程需要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费用包括临时占地数量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时间及因此而发生的协调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租用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复耕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地面附着物（电力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电信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房屋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坟墓除外）的拆迁补偿等相关费用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除项目专用合同条款另有约定外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临时占地的租地费用实行总额包干</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列入工程量清单第 100 章中由承包人按总额报价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临时占地退还前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承包人应自费恢复到临时占地使用前的状况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如因承包人撤离后未按要求对临时占地进行恢复或虽进行了恢复但未达到使用标准的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将由发包人委托第三方对其恢复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所发生的费用将从应付给承包人的任何款项内扣除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（2）除项目专用合同条款另有约定外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承包人应承担并支付为获得本合同工程所需的石料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砾石</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黏土或其他当地材料等所发生的料场使用费及其他开支或补偿费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发包人应尽可能协助承包人办理料场租用手续及解决使用过程中的有关问题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（3）承包人应严格遵守国家有关解决拖欠工程款和民工工资的法律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法规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及时支付工程中的材料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设备货款及民工工资等费用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承包人不得以任何借口拖欠材料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设备货款及民工工资等费用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如果出现此种现象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发包人有权代为支付其拖欠的材料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设备货款及民工工资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并从应付给承包人的工程款中扣除相应款项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对恶意拖欠和拒不按计划支付的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作为不良记录纳入公路建设市场信用信息管理系统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承包人的项目经理部是民工工资支付行为的主体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承包人的项目经理是民工工资支付的责任人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项目经理部要建立全体民工花名册和工资支付表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确保将工资直接发放给民工本人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或委托银行发放民工工资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严禁发放给“包工头”或其他不具备用工主体资格的组织和个人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工资支付表应如实记录支付单位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支付时间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支付对象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支付数额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支付对象的身份证号和签字等信息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民工花名册和工资支付表应报监理人备查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（4）承包人应分解工程价款中的人工费用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在工程项目所在地银行开设民工工资（劳务费）专用账户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专项用于支付民工工资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发包人应按照本合同约定的比例或承包人提供的人工费用数额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将应付工程款中的人工费单独拨付到承包人开设的民工工资（劳务费）专用账户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民工工资（劳务费）专用账户应向人力资源社会保障部门和交通运输主管部门备案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并委托开户银行负责日常监管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确保专款专用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开户银行发现账户资金不足</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被挪用等情况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应及时向人力资源社会保障部门和交通运输主管部门报告</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（5）承包人应严格执行招标文件技术规范对施工标准化提出的具体要求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结合本单位施工能力和技术优势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积极采取有利于标准化施工的组织方式和工艺流程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加强工地建设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工艺控制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人员管理和内业资料管理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强化对施工一线操作人员的培训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改善职工生产生活条件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与此相关的费用承包人应列入工程量清单第 100 章 中</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（6）承包人应履行项目专用合同条款约定的其他义务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50" w:name="_Toc11872"/>
      <w:bookmarkStart w:id="351" w:name="_Toc22690"/>
      <w:r>
        <w:rPr>
          <w:rFonts w:hint="eastAsia" w:ascii="宋体" w:hAnsi="宋体" w:eastAsia="宋体" w:cs="宋体"/>
          <w:spacing w:val="14"/>
          <w:sz w:val="24"/>
          <w:szCs w:val="24"/>
        </w:rPr>
        <w:t>4.2 履约保证金</w:t>
      </w:r>
      <w:bookmarkEnd w:id="350"/>
      <w:bookmarkEnd w:id="35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承包人应保证其履约保证金在发包人签发交工验收证书且承包人按照合同约定缴纳质量保证金前一直有效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发包人应在收到承包人缴纳的质量保证金后 28 天内将履约保证金退还给承包人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承包人拒绝按照本合同约定缴纳质量保证金的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发包人有权从交工付款证书中扣留相应金额作为质量保证金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或者直接将履约保证金金额用于保证承包人在缺陷责任期内履行缺陷修复义务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52" w:name="_Toc29348"/>
      <w:bookmarkStart w:id="353" w:name="_Toc811"/>
      <w:r>
        <w:rPr>
          <w:rFonts w:hint="eastAsia" w:ascii="宋体" w:hAnsi="宋体" w:eastAsia="宋体" w:cs="宋体"/>
          <w:spacing w:val="14"/>
          <w:sz w:val="24"/>
          <w:szCs w:val="24"/>
        </w:rPr>
        <w:t>4.3 分包</w:t>
      </w:r>
      <w:bookmarkEnd w:id="352"/>
      <w:bookmarkEnd w:id="35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4.3.2 项～第 4.3.4 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4.3.2 承包人不得将工程关键性工作分包给第三人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承包人可将工程的其他部分或工作分包给第三人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分包包括专业分包和劳务分包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4.3.3 专业分包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在工程施工过程中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承包人进行专业分包必须遵守以下规定：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（1）允许专业分包的工程范围仅限于非关键性工程或者适合专业化队伍施工的专项工程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未列入投标文件的专项工程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承包人不得分包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但因工程变更增加了有特殊性技术要求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特殊工艺或者涉及专利保护等的专项工程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且按规定无须再进行招标的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由承包人提出书面申请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经发包人书面同意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可以分包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（2）专业分包人的资格能力（含安全生产能力）应与其分包工程的标准和规模相适应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且应当具备如下条件：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a. 具有经工商登记的法人资格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b. 具有从事类似工程经验的管理与技术人员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c. 具有（自有或租赁）分包工程所需的施工设备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承包人应向监理人提交专业分包人的资格能力证明材料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经监理人审查并报发包人批准后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可以将相应专业工程分包给该专业分包人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（3）专业分包工程不得再次分包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（4）承包人和专业分包人应当按照交通运输主管部门制定的统一格式依法签订专业分包合同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并履行合同约定的义务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专业分包合同必须遵循承包合同的各项原则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满足承包合同中的质量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进度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环保以及其他技术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经济等要求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专业分包合同必须明确约定工程款支付条款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结算方式以及保证按期支付的相应措施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确保工程款的支付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承包人应在工程实施前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将经监理人审查同意后的分包合同报发包人备案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（5）专业分包人应当设立项目管理机构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对所分包工程的施工活动实施管理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项目管理机构应当具有与分包工程的规模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技术复杂程度相适应的技术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经济管理人员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其中项目负责人和技术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财务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计量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安全等主要管理人员必须是专业分包人本单位人员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（6）承包人应当建立健全相关分包管理制度和台账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对专业分包工程的质量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进度和专业分包人的行为等实施全过程管理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按照合同约定对专业分包工程的实施向发包人负责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并承担赔偿责任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专业分包合同不免除承包合同中规定的承包人的责任或者义务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（7）专业分包人应当依据专业分包合同的约定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组织分包工程的施工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并对分包工程的质量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安全和进度等实施有效控制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专业分包人对其分包的工程向承包人负责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并就所分包的工程向发包人承担连带责任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（8）承包人对施工现场安全负总责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并对专业分包人的安全生产进行培训和管理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专业分包人应将其专业分包工程的施工组织设计和施工安全方案报承包人备案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专业分包人对分包施工现场安全负责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发现事故隐患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应及时处理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违反上述规定之一者属违规分包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4.3.4 劳务分包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在工程施工过程中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承包人进行劳务分包必须遵守以下规定：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（1）劳务分包人应具有施工劳务资质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（2）劳务分包应当依法签订劳务分包合同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劳务分包合同必须由承包人的法定代表人或其委托代理人与劳务分包人直接签订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不得由他人代签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承包人的项目经理部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项目经理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施工班组等不具备用工主体资格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不能与劳务分包人签订劳务分包合同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承包人应向发包人和监理人提交劳务分包合同副本并报项目所在地劳动保障部门备案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（3）承包人雇用的劳务作业应加入到承包人的施工班组统一管理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有关施工质量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施工进度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环境保护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技术方案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试验检测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材料保管与供应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机械设备等都必须由承包人管理与调配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不得以包代管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（4）承包人应当对劳务分包人员进行安全培训和管理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劳务分包人不得将其分包的劳务作业再次分包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违反上述规定之一者属违规分包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4.3.6 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4.3.7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4.3.6 发包人对承包人与分包人之间的法律与经济纠纷不承担任何责任和义务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4.3.7 本项目的各项分包工作均应遵守《公路工程施工分包管理办法》的有关规定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54" w:name="_Toc404"/>
      <w:bookmarkStart w:id="355" w:name="_Toc11228"/>
      <w:r>
        <w:rPr>
          <w:rFonts w:hint="eastAsia" w:ascii="宋体" w:hAnsi="宋体" w:eastAsia="宋体" w:cs="宋体"/>
          <w:spacing w:val="14"/>
          <w:sz w:val="24"/>
          <w:szCs w:val="24"/>
        </w:rPr>
        <w:t>4.4 联合体</w:t>
      </w:r>
      <w:bookmarkEnd w:id="354"/>
      <w:bookmarkEnd w:id="35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4.4.4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4.4.4 未经发包人事先同意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联合体的组成与结构不得变动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56" w:name="_Toc8216"/>
      <w:bookmarkStart w:id="357" w:name="_Toc10619"/>
      <w:r>
        <w:rPr>
          <w:rFonts w:hint="eastAsia" w:ascii="宋体" w:hAnsi="宋体" w:eastAsia="宋体" w:cs="宋体"/>
          <w:spacing w:val="14"/>
          <w:sz w:val="24"/>
          <w:szCs w:val="24"/>
        </w:rPr>
        <w:t>4.6 承包人人员的管理</w:t>
      </w:r>
      <w:bookmarkEnd w:id="356"/>
      <w:bookmarkEnd w:id="35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4.6.3 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承包人安排在施工场地的主要管理人员和技术骨干应与承包人承诺的名单一致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并保持相对稳定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未经监理人批准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上述人员不应无故不到位或被替换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若确实无法到位或需替换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需经监理人审核并报发包人批准后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用同等资质和经历的人员替换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4.6.5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4.6.5 尽管承包人已按承诺派遣了上述各类人员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但若这些人员仍不能满足合同进度计划和（或）质量要求时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监理人有权要求承包人继续增派或雇用这类人员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并书面通知承包人和抄送发包人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承包人在接到上述通知后应立即执行监理人的上述指示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不得无故拖延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由此增加的费用和（或）工期延误由承包人承担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58" w:name="_Toc12504"/>
      <w:bookmarkStart w:id="359" w:name="_Toc3558"/>
      <w:r>
        <w:rPr>
          <w:rFonts w:hint="eastAsia" w:ascii="宋体" w:hAnsi="宋体" w:eastAsia="宋体" w:cs="宋体"/>
          <w:spacing w:val="14"/>
          <w:sz w:val="24"/>
          <w:szCs w:val="24"/>
        </w:rPr>
        <w:t>4.7 撤换承包人项目经理和其他人员</w:t>
      </w:r>
      <w:bookmarkEnd w:id="358"/>
      <w:bookmarkEnd w:id="35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承包人应对其项目经理和其他人员进行有效管理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监理人要求撤换不能胜任本职工作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行为不端或玩忽职守的承包人项目经理和其他人员的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承包人应予以撤换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同时委派经发包人与监理人同意的新的项目经理和其他人员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60" w:name="_Toc9833"/>
      <w:bookmarkStart w:id="361" w:name="_Toc9274"/>
      <w:r>
        <w:rPr>
          <w:rFonts w:hint="eastAsia" w:ascii="宋体" w:hAnsi="宋体" w:eastAsia="宋体" w:cs="宋体"/>
          <w:spacing w:val="14"/>
          <w:sz w:val="24"/>
          <w:szCs w:val="24"/>
        </w:rPr>
        <w:t>4.9 工程价款应专款专用</w:t>
      </w:r>
      <w:bookmarkEnd w:id="360"/>
      <w:bookmarkEnd w:id="36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发包人按合同约定支付给承包人的各项价款应专用于合同工程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承包人必须在发包人指定的银行开户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并与发包人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银行共同签订《工程资金监管协议》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接受发包人和银行对资金的监管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承包人应向发包人授权进行本合同工程开户银行工程资金的查询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发包人支付的工程进度款应为本工程的专款专用资金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不得转移或用于其他工程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发包人的期中支付款将转入该银行所设的专门账户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发包人及其派出机构有权不定期对承包人工程资金使用情况进行检查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发现问题及时责令承包人限期改正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否则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将终止月支付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直至承包人改正为止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62" w:name="_Toc13006"/>
      <w:bookmarkStart w:id="363" w:name="_Toc22932"/>
      <w:r>
        <w:rPr>
          <w:rFonts w:hint="eastAsia" w:ascii="宋体" w:hAnsi="宋体" w:eastAsia="宋体" w:cs="宋体"/>
          <w:spacing w:val="14"/>
          <w:sz w:val="24"/>
          <w:szCs w:val="24"/>
        </w:rPr>
        <w:t>4.10 承包人现场查勘</w:t>
      </w:r>
      <w:bookmarkEnd w:id="362"/>
      <w:bookmarkEnd w:id="36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4.10.1 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发包人提供的本合同工程的水文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地质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气象和料场分布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取土场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弃土场位置等资料均属于参考资料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并不构成合同文件的组成部分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承包人应对自己就上述资料的解释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推论和应用负责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发包人不对承包人据此作出的判断和决策承担任何责任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64" w:name="_Toc22725"/>
      <w:bookmarkStart w:id="365" w:name="_Toc18227"/>
      <w:r>
        <w:rPr>
          <w:rFonts w:hint="eastAsia" w:ascii="宋体" w:hAnsi="宋体" w:eastAsia="宋体" w:cs="宋体"/>
          <w:spacing w:val="14"/>
          <w:sz w:val="24"/>
          <w:szCs w:val="24"/>
        </w:rPr>
        <w:t>4.11 不利物质条件</w:t>
      </w:r>
      <w:bookmarkEnd w:id="364"/>
      <w:bookmarkEnd w:id="36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第4.11.2 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4.11.2 承包人遇到不可预见的不利物质条件时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应采取适应不利物质条件的合理措施继续施工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并及时通知监理人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监理人应当及时发出指示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指示构成变更的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 15 条约定办理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监理人没有发出指示的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承包人因采取合理措施而增加的费用和（或）工期延误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4.11.3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4.11.3 可预见的不利物质条件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（1）对于项目专用合同条款中已经明确指出的不利物质条件无论承包人是否有其经历和经验均视为承包人在接受合同时已预见其影响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并已在签约合同价中计入因其影响而可能发生的一切费用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① 如果在招标阶段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招标人在图纸中直接指定了取土场和弃土场位置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且作为投标人投标报价的依据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则招标人应在项目专用合同条款中对本项规定进行调整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（2）对于项目专用合同条款未明确指出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但是在不利物质条件发生之前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监理人已经指示承包人有可能发生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但承包人未能及时采取有效措施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而导致的损失和后果均由承包人承担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补充第 4.12 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4.13 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66" w:name="_Toc24226"/>
      <w:bookmarkStart w:id="367" w:name="_Toc24771"/>
      <w:r>
        <w:rPr>
          <w:rFonts w:hint="eastAsia" w:ascii="宋体" w:hAnsi="宋体" w:eastAsia="宋体" w:cs="宋体"/>
          <w:spacing w:val="14"/>
          <w:sz w:val="24"/>
          <w:szCs w:val="24"/>
        </w:rPr>
        <w:t>4.12 投标文件的完备性</w:t>
      </w:r>
      <w:bookmarkEnd w:id="366"/>
      <w:bookmarkEnd w:id="36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合同双方一致认为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承包人在递交投标文件前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对本合同工程的投标文件和已标价工程量清单中开列的单价和总额价已查明是正确的和完备的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投标的单价和总额价应已包括了合同中规定的承包人的全部义务（包括提供货物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服务的义务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并包括了暂列金额和暂估价范围内的额外工作的义务）以及为实施和完成本合同工程及其缺陷修复所必需的一切工作和条件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68" w:name="_Toc2687"/>
      <w:bookmarkStart w:id="369" w:name="_Toc6706"/>
      <w:r>
        <w:rPr>
          <w:rFonts w:hint="eastAsia" w:ascii="宋体" w:hAnsi="宋体" w:eastAsia="宋体" w:cs="宋体"/>
          <w:spacing w:val="14"/>
          <w:sz w:val="24"/>
          <w:szCs w:val="24"/>
        </w:rPr>
        <w:t>4.13 开展党建工作要求</w:t>
      </w:r>
      <w:bookmarkEnd w:id="368"/>
      <w:bookmarkEnd w:id="36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对于政府投资的国家高速公路项目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或承包人为国有控股或参股企业的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承包人应按规定在项目现场设立基层党组织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不满足上述情形的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承包人应创造条件使党员能够参加党组织生活并接受相应管理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承包人在项目现场设立基层党组织的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应明确党组织机构设置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党组织负责人及党务工作人员配备情况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编制党务工作开展预案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并按照预案要求在项目实施过程中同步开展党务工作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充分发挥基层党组织在项目实施中的作用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70" w:name="_Toc8886"/>
      <w:bookmarkStart w:id="371" w:name="_Toc4340"/>
      <w:r>
        <w:rPr>
          <w:rFonts w:hint="eastAsia" w:ascii="宋体" w:hAnsi="宋体" w:eastAsia="宋体" w:cs="宋体"/>
          <w:spacing w:val="14"/>
          <w:sz w:val="24"/>
          <w:szCs w:val="24"/>
        </w:rPr>
        <w:t>5. 材料和工程设备</w:t>
      </w:r>
      <w:bookmarkEnd w:id="370"/>
      <w:bookmarkEnd w:id="37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72" w:name="_Toc12155"/>
      <w:bookmarkStart w:id="373" w:name="_Toc32201"/>
      <w:r>
        <w:rPr>
          <w:rFonts w:hint="eastAsia" w:ascii="宋体" w:hAnsi="宋体" w:eastAsia="宋体" w:cs="宋体"/>
          <w:spacing w:val="14"/>
          <w:sz w:val="24"/>
          <w:szCs w:val="24"/>
        </w:rPr>
        <w:t>5.2 发包人提供的材料和工程设备</w:t>
      </w:r>
      <w:bookmarkEnd w:id="372"/>
      <w:bookmarkEnd w:id="37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5.2.3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承包人负责接收并按规定对材料进行抽样检验和对工程设备进行检验测试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若发现材料和工程设备存在缺陷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承包人应及时通知监理人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发包人应及时改正通知中指出的缺陷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承包人负责接收后的运输和保管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因承包人的原因发生丢失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损坏或进度拖延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由承包人承担相应责任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74" w:name="_Toc20076"/>
      <w:bookmarkStart w:id="375" w:name="_Toc21789"/>
      <w:r>
        <w:rPr>
          <w:rFonts w:hint="eastAsia" w:ascii="宋体" w:hAnsi="宋体" w:eastAsia="宋体" w:cs="宋体"/>
          <w:spacing w:val="14"/>
          <w:sz w:val="24"/>
          <w:szCs w:val="24"/>
        </w:rPr>
        <w:t>6. 施工设备和临时设施</w:t>
      </w:r>
      <w:bookmarkEnd w:id="374"/>
      <w:bookmarkEnd w:id="37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76" w:name="_Toc23133"/>
      <w:bookmarkStart w:id="377" w:name="_Toc14668"/>
      <w:r>
        <w:rPr>
          <w:rFonts w:hint="eastAsia" w:ascii="宋体" w:hAnsi="宋体" w:eastAsia="宋体" w:cs="宋体"/>
          <w:spacing w:val="14"/>
          <w:sz w:val="24"/>
          <w:szCs w:val="24"/>
        </w:rPr>
        <w:t>6.1 承包人提供的施工设备和临时设施</w:t>
      </w:r>
      <w:bookmarkEnd w:id="376"/>
      <w:bookmarkEnd w:id="37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6.1.2 项约定为：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承包人应自行承担修建临时设施的费用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需要临时占地的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应由承包人按第4.1.10 项（1）目的规定办理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78" w:name="_Toc15064"/>
      <w:bookmarkStart w:id="379" w:name="_Toc6981"/>
      <w:r>
        <w:rPr>
          <w:rFonts w:hint="eastAsia" w:ascii="宋体" w:hAnsi="宋体" w:eastAsia="宋体" w:cs="宋体"/>
          <w:spacing w:val="14"/>
          <w:sz w:val="24"/>
          <w:szCs w:val="24"/>
        </w:rPr>
        <w:t>6.3 要求承包人增加或更换施工设备</w:t>
      </w:r>
      <w:bookmarkEnd w:id="378"/>
      <w:bookmarkEnd w:id="37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承包人承诺的施工设备必须按时到达现场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不得拖延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缺短或任意更换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尽管承包人已按承诺提供了上述设备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但若承包人使用的施工设备不能满足合同进度计划和（或）质量要求时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监理人有权要求承包人增加或更换施工设备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承包人应及时增加或更换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由此增加的费用和（或）工期延误由承包人承担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80" w:name="_Toc21216"/>
      <w:bookmarkStart w:id="381" w:name="_Toc24704"/>
      <w:r>
        <w:rPr>
          <w:rFonts w:hint="eastAsia" w:ascii="宋体" w:hAnsi="宋体" w:eastAsia="宋体" w:cs="宋体"/>
          <w:spacing w:val="14"/>
          <w:sz w:val="24"/>
          <w:szCs w:val="24"/>
        </w:rPr>
        <w:t>7. 交通运输</w:t>
      </w:r>
      <w:bookmarkEnd w:id="380"/>
      <w:bookmarkEnd w:id="38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82" w:name="_Toc5767"/>
      <w:bookmarkStart w:id="383" w:name="_Toc32717"/>
      <w:r>
        <w:rPr>
          <w:rFonts w:hint="eastAsia" w:ascii="宋体" w:hAnsi="宋体" w:eastAsia="宋体" w:cs="宋体"/>
          <w:spacing w:val="14"/>
          <w:sz w:val="24"/>
          <w:szCs w:val="24"/>
        </w:rPr>
        <w:t>7.1 道路通行权和场外设施</w:t>
      </w:r>
      <w:bookmarkEnd w:id="382"/>
      <w:bookmarkEnd w:id="38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承包人应根据合同工程的施工需要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负责办理取得出入施工场地的专用和临时道路的通行权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以及取得为工程建设所需修建场外设施的权利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并承担有关费用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需要发包人协调时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发包人应协助承包人办理相关手续</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84" w:name="_Toc19899"/>
      <w:bookmarkStart w:id="385" w:name="_Toc30123"/>
      <w:r>
        <w:rPr>
          <w:rFonts w:hint="eastAsia" w:ascii="宋体" w:hAnsi="宋体" w:eastAsia="宋体" w:cs="宋体"/>
          <w:spacing w:val="14"/>
          <w:sz w:val="24"/>
          <w:szCs w:val="24"/>
        </w:rPr>
        <w:t>8. 测量放线</w:t>
      </w:r>
      <w:bookmarkEnd w:id="384"/>
      <w:bookmarkEnd w:id="38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86" w:name="_Toc19215"/>
      <w:bookmarkStart w:id="387" w:name="_Toc7415"/>
      <w:r>
        <w:rPr>
          <w:rFonts w:hint="eastAsia" w:ascii="宋体" w:hAnsi="宋体" w:eastAsia="宋体" w:cs="宋体"/>
          <w:spacing w:val="14"/>
          <w:sz w:val="24"/>
          <w:szCs w:val="24"/>
        </w:rPr>
        <w:t>8.4 监理人使用施工控制网</w:t>
      </w:r>
      <w:bookmarkEnd w:id="386"/>
      <w:bookmarkEnd w:id="38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经监理人批准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其他相关承包人也可免费使用施工控制网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88" w:name="_Toc3758"/>
      <w:bookmarkStart w:id="389" w:name="_Toc24350"/>
      <w:r>
        <w:rPr>
          <w:rFonts w:hint="eastAsia" w:ascii="宋体" w:hAnsi="宋体" w:eastAsia="宋体" w:cs="宋体"/>
          <w:spacing w:val="14"/>
          <w:sz w:val="24"/>
          <w:szCs w:val="24"/>
        </w:rPr>
        <w:t>9. 施工安全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治安保卫和环境保护</w:t>
      </w:r>
      <w:bookmarkEnd w:id="388"/>
      <w:bookmarkEnd w:id="38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90" w:name="_Toc8567"/>
      <w:bookmarkStart w:id="391" w:name="_Toc31409"/>
      <w:r>
        <w:rPr>
          <w:rFonts w:hint="eastAsia" w:ascii="宋体" w:hAnsi="宋体" w:eastAsia="宋体" w:cs="宋体"/>
          <w:spacing w:val="14"/>
          <w:sz w:val="24"/>
          <w:szCs w:val="24"/>
        </w:rPr>
        <w:t>9.2 承包人的施工安全责任</w:t>
      </w:r>
      <w:bookmarkEnd w:id="390"/>
      <w:bookmarkEnd w:id="39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9.2.1 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承包人应按合同约定履行安全职责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严格执行国家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地方政府有关施工安全管理方面的法律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法规及规章制度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同时严格执行发包人制订的本项目安全生产管理方面的规章制度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安全检查程序及施工安全管理要求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以及监理人有关安全工作的指示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承包人应根据本工程的实际安全施工要求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编制施工安全技术措施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并在签订合同协议书后 28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报监理人和发包人批准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该施工安全技术措施包括（但不限于）施工安全保障体系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安全生产责任制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安全生产管理规章制度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安全防护施工方案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施工现场临时用电方案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施工安全评估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安全预控及保证措施方案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紧急应变措施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安全标识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警示和围护方案等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对影响安全的重要工序和下列危险性较大的工程应编制专项施工方案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并附安全验算结果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经承包人项目总工签字并报监理人和发包人批准后实施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由专职安全生产管理人员进行现场监督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本项目需要编制专项施工方案的工程包括但不限于以下内容：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（1）不良地质条件下有潜在危险性的土方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石方开挖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（2）滑坡和高边坡处理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（3）桩基础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挡墙基础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深水基础及围堰工程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（4）桥梁工程中的梁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柱等构件施工等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（5）隧道工程中的不良地质隧道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高瓦斯隧道等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（6）水上工程中的打桩船作业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施工船作业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外海孤岛作业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边通航边施工作业等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（7）水下工程中的水下焊接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混凝土浇筑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爆破工程等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（8）爆破工程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（9）大型临时工程中的大型支架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模板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便桥的架设与拆除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桥梁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码头的加固与拆除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（10）其他危险性较大的工程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监理人和发包人在检查中发现有安全问题或有违反安全管理规章制度的情况时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可视为承包人违约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应按第 22.1 款的规定办理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9.2.5 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除项目专用合同条款另有约定外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安全生产费用应为投标价（不含安全生产费及建筑工程一切险及第三者责任险的保险费）的 1.5%（若发包人公布了最高投标限价时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按最高投标限价的 1.5%计）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安全生产费用应用于施工安全防护用具及设施的采购和更新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安全施工措施的落实</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安全生产条件的改善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不得挪作他用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如承包人在此基础上增加安全生产费用以满足项目施工需要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则承包人应在本项目工程量清单其他相关子目的单价或总额价中予以考虑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发包人不再另行支付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因采取合同未约定的特殊防护措施增加的费用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由监理人按第3.5 款商定或确定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9.2.8 项~第 9.2.11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9.2.8 承包人应充分关注和保障所有在现场工作的人员的安全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采取以下有效措施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使现场和本合同工程的实施保持有条不紊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以免使上述人员的安全受到威胁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（1）按《公路水运工程安全生产监督管理办法》规定的最低数量和资质条件配备专职安全生产管理人员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（2）承包人的垂直运输机械作业人员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施工船舶作业人员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爆破作业人员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安装拆卸工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起重信号工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电工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焊工等国家规定的特种作业人员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必须按照国家规定经过专门的安全作业培训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并取得特种作业操作资格证书后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方可上岗作业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（3）所有施工机具设备和高空作业设备均应定期检查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并有安全员的签字记录</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（4）根据本合同各单位工程的施工特点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严格执行《公路水运工程安全生产监督管理办法》《公路工程施工安全技术规范》等有关规定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9.2.9 为了保护本合同工程免遭损坏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或为了现场附近和过往群众的安全与方便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在确有必要的时候和地方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或当监理人或有关主管部门要求时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承包人应自费提供照明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警卫</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护栅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警告标志等安全防护设施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9.2.10 在通航水域施工时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承包人应与当地主管部门取得联系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设置必要的导航标志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及时发布航行通告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确保施工水域安全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9.2.11 在整个施工过程中对承包人采取的施工安全措施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发包人和监理人有权监督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并向承包人提出整改要求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如果由于承包人未能对其负责的上述事项采取各种必要的措施而导致或发生与此有关的人身伤亡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罚款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索赔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损失补偿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诉讼费用及其他一切责任应由承包人负责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92" w:name="_Toc9061"/>
      <w:bookmarkStart w:id="393" w:name="_Toc24261"/>
      <w:r>
        <w:rPr>
          <w:rFonts w:hint="eastAsia" w:ascii="宋体" w:hAnsi="宋体" w:eastAsia="宋体" w:cs="宋体"/>
          <w:spacing w:val="14"/>
          <w:sz w:val="24"/>
          <w:szCs w:val="24"/>
        </w:rPr>
        <w:t>9.4 环境保护</w:t>
      </w:r>
      <w:bookmarkEnd w:id="392"/>
      <w:bookmarkEnd w:id="39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9.4.7 项~第 9.4.11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9.4.7 承包人应切实执行技术规范中有关环境保护方面的条款和规定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（1）对于来自施工机械和运输车辆的施工噪声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为保护施工人员的健康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应遵守《中华人民共和国环境噪声污染防治法》并依据《工业企业噪声卫生标准》合理安排工作人员轮流操作筑路机械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减少接触高噪声的时间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或间歇安排高噪声的工作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对距噪声源较近的施工人员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除采取使用防护耳塞或头盔等有效措施外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还应当缩短其劳动时间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同时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要注意对机械的经常性保养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尽量使其噪声降低到最低水平</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为保护施工现场附近居民的夜间休息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对居民区 150m 以内的施工现场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施工时间应加以控制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（2）对于公路施工中粉尘污染的主要污染源――灰土拌和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施工车辆和筑路机械运行及运输产生的扬尘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应采取有效措施减轻其对施工现场的大气污染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保护人民健康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a. 拌和设备应有较好的密封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或有防尘设备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b. 施工通道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沥青混凝土拌和站及灰土拌和站应经常进行洒水降尘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c. 路面施工应注意保持水分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以免扬尘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d. 隧道出渣和桥梁钻孔灌注桩施工时排出的泥浆要进行妥善处理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严禁向河流或农田排放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（3）采取可靠措施保证原有交通的正常通行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维持沿线村镇的居民饮水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农田灌溉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生产生活用电及通信等管线的正常使用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9.4.8 在整个施工过程中对承包人采取的环境保护措施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发包人和监理人有权监督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并向承包人提出整改要求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如果由于承包人未能对其负责的上述事项采取各种必要的措施而导致或发生与此有关的人身伤亡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罚款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索赔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损失补偿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诉讼费用及其他一切责任应由承包人负责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9.4.9 在施工期间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承包人应随时保持现场整洁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施工设备和材料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工程设备应整齐妥善存放和储存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废料与垃圾及不再需要的临时设施应及时从现场清除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拆除并运走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9.4.10 在施工期间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承包人应严格遵守《关于在公路建设中实行最严格的耕地保护制度的若干意见》的相关规定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规范用地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科学用地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合理用地和节约用地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承包人应合理利用所占耕地地表的耕作层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用于重新造地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合理设置取土坑和弃土场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取土坑和弃土场的施工防护要符合要求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防止水土流失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承包人应严格控制临时占地数量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施工便道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各种料场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预制场要根据工程进度统筹考虑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尽可能设置在公路用地范围内或利用荒坡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废弃地解决</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不得占用农田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施工过程中要采取有效措施防止污染农田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项目完工后承包人应将临时占地自费恢复到临时占地使用前的状况</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9.4.11 承包人应严格按照国家有关法规要求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做好施工过程中的生态保护和水土保持工作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施工中要尽可能减少对原地面的扰动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减少对地面草木的破坏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需要爆破作业的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应按规定进行控爆设计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雨季填筑路基应随挖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随运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随填</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随压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要完善施工中的临时排水系统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加强施工便道的管理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取（弃）土场必须先挡后弃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严禁在指定的取（弃）土场以外的地方乱挖乱弃</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394" w:name="_Toc28402"/>
      <w:bookmarkStart w:id="395" w:name="_Toc32139"/>
      <w:r>
        <w:rPr>
          <w:rFonts w:hint="eastAsia" w:ascii="宋体" w:hAnsi="宋体" w:eastAsia="宋体" w:cs="宋体"/>
          <w:spacing w:val="14"/>
          <w:sz w:val="24"/>
          <w:szCs w:val="24"/>
        </w:rPr>
        <w:t>10. 进度计划</w:t>
      </w:r>
      <w:bookmarkEnd w:id="394"/>
      <w:bookmarkEnd w:id="39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96" w:name="_Toc13846"/>
      <w:bookmarkStart w:id="397" w:name="_Toc21378"/>
      <w:r>
        <w:rPr>
          <w:rFonts w:hint="eastAsia" w:ascii="宋体" w:hAnsi="宋体" w:eastAsia="宋体" w:cs="宋体"/>
          <w:spacing w:val="14"/>
          <w:sz w:val="24"/>
          <w:szCs w:val="24"/>
        </w:rPr>
        <w:t>10.1 合同进度计划</w:t>
      </w:r>
      <w:bookmarkEnd w:id="396"/>
      <w:bookmarkEnd w:id="39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承包人编制施工方案说明的内容见项目专用合同条款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承包人向监理人报送施工进度计划和施工方案说明的期限：签订合同协议书后28 天之内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 14 天内对承包人施工进度计划和施工方案说明予以批复或提出修改意见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合同进度计划应按照关键线路网络图和主要工作横道图两种形式分别编绘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并应包括每月预计完成的工作量和形象进度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398" w:name="_Toc18331"/>
      <w:bookmarkStart w:id="399" w:name="_Toc17170"/>
      <w:r>
        <w:rPr>
          <w:rFonts w:hint="eastAsia" w:ascii="宋体" w:hAnsi="宋体" w:eastAsia="宋体" w:cs="宋体"/>
          <w:spacing w:val="14"/>
          <w:sz w:val="24"/>
          <w:szCs w:val="24"/>
        </w:rPr>
        <w:t>10.2 合同进度计划的修订</w:t>
      </w:r>
      <w:bookmarkEnd w:id="398"/>
      <w:bookmarkEnd w:id="39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承包人提交合同进度计划修订申请报告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并附有关措施和相关资料的期限：实际进度发生滞后的当月 25 日前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监理人批复修订合同进度计划的期限：收到修订合同进度计划后 14 天内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本条补充第 10.3 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10.4 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00" w:name="_Toc24481"/>
      <w:bookmarkStart w:id="401" w:name="_Toc22709"/>
      <w:r>
        <w:rPr>
          <w:rFonts w:hint="eastAsia" w:ascii="宋体" w:hAnsi="宋体" w:eastAsia="宋体" w:cs="宋体"/>
          <w:spacing w:val="14"/>
          <w:sz w:val="24"/>
          <w:szCs w:val="24"/>
        </w:rPr>
        <w:t>10.3 年度施工计划</w:t>
      </w:r>
      <w:bookmarkEnd w:id="400"/>
      <w:bookmarkEnd w:id="40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承包人应在每年 11 月底前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根据已同意的合同进度计划或其修订的计划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向监理人提交 2 份格式和内容符合监理人合理规定的下一年度的施工计划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以供审查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该计划应包括本年度估计完成的和下一年度预计完成的分项工程数量和工作量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以及为实施此计划将采取的措施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02" w:name="_Toc28046"/>
      <w:bookmarkStart w:id="403" w:name="_Toc182"/>
      <w:r>
        <w:rPr>
          <w:rFonts w:hint="eastAsia" w:ascii="宋体" w:hAnsi="宋体" w:eastAsia="宋体" w:cs="宋体"/>
          <w:spacing w:val="14"/>
          <w:sz w:val="24"/>
          <w:szCs w:val="24"/>
        </w:rPr>
        <w:t>10.4 合同用款计划</w:t>
      </w:r>
      <w:bookmarkEnd w:id="402"/>
      <w:bookmarkEnd w:id="40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承包人应在签订本合同协议书后 28 天之内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按招标文件中规定的格式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向监理人提交 2 份按合同规定承包人有权得到支付的详细的季度合同用款计划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以备监理人查阅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如果监理人提出要求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承包人还应按季度提交修订的合同用款计划</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04" w:name="_Toc20889"/>
      <w:bookmarkStart w:id="405" w:name="_Toc12777"/>
      <w:r>
        <w:rPr>
          <w:rFonts w:hint="eastAsia" w:ascii="宋体" w:hAnsi="宋体" w:eastAsia="宋体" w:cs="宋体"/>
          <w:spacing w:val="14"/>
          <w:sz w:val="24"/>
          <w:szCs w:val="24"/>
        </w:rPr>
        <w:t>11. 开工和交工</w:t>
      </w:r>
      <w:bookmarkEnd w:id="404"/>
      <w:bookmarkEnd w:id="40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06" w:name="_Toc26565"/>
      <w:bookmarkStart w:id="407" w:name="_Toc14042"/>
      <w:r>
        <w:rPr>
          <w:rFonts w:hint="eastAsia" w:ascii="宋体" w:hAnsi="宋体" w:eastAsia="宋体" w:cs="宋体"/>
          <w:spacing w:val="14"/>
          <w:sz w:val="24"/>
          <w:szCs w:val="24"/>
        </w:rPr>
        <w:t>11.1 开工</w:t>
      </w:r>
      <w:bookmarkEnd w:id="406"/>
      <w:bookmarkEnd w:id="40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11.1.2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承包人应在分部工程开工前 14 天向监理人提交分部工程开工报审表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若承包人的开工准备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工作计划和质量控制方法是可接受的且已获得批准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则经监理人书面同意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分部工程才能开工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08" w:name="_Toc21253"/>
      <w:bookmarkStart w:id="409" w:name="_Toc25049"/>
      <w:r>
        <w:rPr>
          <w:rFonts w:hint="eastAsia" w:ascii="宋体" w:hAnsi="宋体" w:eastAsia="宋体" w:cs="宋体"/>
          <w:spacing w:val="14"/>
          <w:sz w:val="24"/>
          <w:szCs w:val="24"/>
        </w:rPr>
        <w:t>11.3 发包人的工期延误</w:t>
      </w:r>
      <w:bookmarkEnd w:id="408"/>
      <w:bookmarkEnd w:id="40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即使由于上述原因造成工期延误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如果受影响的工程并非处在工程施工进度网络计划的关键线路上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则承包人无权要求延长总工期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10" w:name="_Toc26904"/>
      <w:bookmarkStart w:id="411" w:name="_Toc28203"/>
      <w:r>
        <w:rPr>
          <w:rFonts w:hint="eastAsia" w:ascii="宋体" w:hAnsi="宋体" w:eastAsia="宋体" w:cs="宋体"/>
          <w:spacing w:val="14"/>
          <w:sz w:val="24"/>
          <w:szCs w:val="24"/>
        </w:rPr>
        <w:t>11.4 异常恶劣的气候条件</w:t>
      </w:r>
      <w:bookmarkEnd w:id="410"/>
      <w:bookmarkEnd w:id="41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异常气候是指项目所在地 30 年以上一遇的罕见气候现象（包括温度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降水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降雪</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风等）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异常恶劣的气候条件在项目专用合同条款中作具体约定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12" w:name="_Toc22937"/>
      <w:bookmarkStart w:id="413" w:name="_Toc4986"/>
      <w:r>
        <w:rPr>
          <w:rFonts w:hint="eastAsia" w:ascii="宋体" w:hAnsi="宋体" w:eastAsia="宋体" w:cs="宋体"/>
          <w:spacing w:val="14"/>
          <w:sz w:val="24"/>
          <w:szCs w:val="24"/>
        </w:rPr>
        <w:t>11.5 承包人的工期延误</w:t>
      </w:r>
      <w:bookmarkEnd w:id="412"/>
      <w:bookmarkEnd w:id="41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（1）承包人应严格执行监理人批准的合同进度计划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对工作量计划和形象进度计划分别控制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除第 11.3 款规定外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承包人的实际工程进度曲线应在合同进度管理曲线规定的安全区域之内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若承包人的实际工程进度曲线处在合同进度管理曲线规定的安全区域的下限之外时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则监理人有权认为本合同工程的进度过慢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并通知承包人应采取必要措施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以便加快工程进度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确保工程能在预定的工期内交工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承包人应采取措施加快进度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并承担加快进度所增加的费用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（2）如果承包人在接到监理人通知后的 14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未能采取加快工程进度的措施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致使实际工程进度进一步滞后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或承包人虽采取了一些措施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仍无法按预计工期交工时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监理人应立即通知发包人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发包人在向承包人发出书面警告通知 14 天后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发包人可按第 22.1 款终止对承包人的雇用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也可将本合同工程中的一部分工作交由其他承包人或其他分包人完成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在不解除本合同规定的承包人责任和义务的同时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承包人应承担因此所增加的一切费用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（3）由于承包人原因造成工期延误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承包人应支付逾期交工违约金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逾期交工违约金的计算方法在项目专用合同条款数据表中约定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时间自预定的交工日期起到交工验收证书中写明的实际交工日期止（扣除已批准的延长工期）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按天计算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逾期交工违约金累计金额最高不超过项目专用合同条款数据表中写明的限额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发包人可以从应付或到期应付给承包人的任何款项中或采用其他方法扣除此违约金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（4）承包人支付逾期交工违约金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不免除承包人完成工程及修补缺陷的义务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（5）如果在合同工程完工之前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已对合同工程内按时完工的单位工程签发了交工验收证书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则合同工程的逾期交工违约金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应按已签发交工验收证书的单位工程的价值占合同工程价值的比例予以减少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但本规定不应影响逾期交工违约金的规定限额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14" w:name="_Toc22264"/>
      <w:bookmarkStart w:id="415" w:name="_Toc22666"/>
      <w:r>
        <w:rPr>
          <w:rFonts w:hint="eastAsia" w:ascii="宋体" w:hAnsi="宋体" w:eastAsia="宋体" w:cs="宋体"/>
          <w:spacing w:val="14"/>
          <w:sz w:val="24"/>
          <w:szCs w:val="24"/>
        </w:rPr>
        <w:t>11.6 工期提前</w:t>
      </w:r>
      <w:bookmarkEnd w:id="414"/>
      <w:bookmarkEnd w:id="41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发包人不得随意要求承包人提前交工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承包人也不得随意提出提前交工的建议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如遇特殊情况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确需将工期提前的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发包人和承包人必须采取有效措施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确保工程质量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如果承包人提前交工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发包人支付奖金的计算方法在项目专用合同条款数据表中约定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时间自交工验收证书中写明的实际交工日期起至预定的交工日期止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按天计算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但奖金最高限额不超过项目专用合同条款数据表中写明的限额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本条补充第 11.7 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16" w:name="_Toc205"/>
      <w:bookmarkStart w:id="417" w:name="_Toc27441"/>
      <w:r>
        <w:rPr>
          <w:rFonts w:hint="eastAsia" w:ascii="宋体" w:hAnsi="宋体" w:eastAsia="宋体" w:cs="宋体"/>
          <w:spacing w:val="14"/>
          <w:sz w:val="24"/>
          <w:szCs w:val="24"/>
        </w:rPr>
        <w:t>11.7 工作时间的限制</w:t>
      </w:r>
      <w:bookmarkEnd w:id="416"/>
      <w:bookmarkEnd w:id="41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承包人在夜间或国家规定的节假日进行永久工程的施工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应向监理人报告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以便监理人履行监理职责和义务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为了抢救生命或保护财产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或为了工程的安全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质量而不可避免地短暂作业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则不必事先向监理人报告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但承包人应在事后立即向监理人报告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本款规定不适用于习惯上或施工本身要求实行连续生产的作业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18" w:name="_Toc26523"/>
      <w:bookmarkStart w:id="419" w:name="_Toc5487"/>
      <w:r>
        <w:rPr>
          <w:rFonts w:hint="eastAsia" w:ascii="宋体" w:hAnsi="宋体" w:eastAsia="宋体" w:cs="宋体"/>
          <w:spacing w:val="14"/>
          <w:sz w:val="24"/>
          <w:szCs w:val="24"/>
        </w:rPr>
        <w:t>12. 暂停施工</w:t>
      </w:r>
      <w:bookmarkEnd w:id="418"/>
      <w:bookmarkEnd w:id="41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20" w:name="_Toc31035"/>
      <w:bookmarkStart w:id="421" w:name="_Toc1933"/>
      <w:r>
        <w:rPr>
          <w:rFonts w:hint="eastAsia" w:ascii="宋体" w:hAnsi="宋体" w:eastAsia="宋体" w:cs="宋体"/>
          <w:spacing w:val="14"/>
          <w:sz w:val="24"/>
          <w:szCs w:val="24"/>
        </w:rPr>
        <w:t>12.1 承包人暂停施工的责任</w:t>
      </w:r>
      <w:bookmarkEnd w:id="420"/>
      <w:bookmarkEnd w:id="42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本款第（5）项细化为：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（5）现场气候条件导致的必要停工（第 11.4 款约定的异常恶劣的气候条件除外）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（6）项目专用合同条款可能约定的由承包人承担的其他暂停施工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22" w:name="_Toc19183"/>
      <w:bookmarkStart w:id="423" w:name="_Toc26326"/>
      <w:r>
        <w:rPr>
          <w:rFonts w:hint="eastAsia" w:ascii="宋体" w:hAnsi="宋体" w:eastAsia="宋体" w:cs="宋体"/>
          <w:spacing w:val="14"/>
          <w:sz w:val="24"/>
          <w:szCs w:val="24"/>
        </w:rPr>
        <w:t>13. 工程质量</w:t>
      </w:r>
      <w:bookmarkEnd w:id="422"/>
      <w:bookmarkEnd w:id="42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24" w:name="_Toc20363"/>
      <w:bookmarkStart w:id="425" w:name="_Toc30715"/>
      <w:r>
        <w:rPr>
          <w:rFonts w:hint="eastAsia" w:ascii="宋体" w:hAnsi="宋体" w:eastAsia="宋体" w:cs="宋体"/>
          <w:spacing w:val="14"/>
          <w:sz w:val="24"/>
          <w:szCs w:val="24"/>
        </w:rPr>
        <w:t>13.1 工程质量要求</w:t>
      </w:r>
      <w:bookmarkEnd w:id="424"/>
      <w:bookmarkEnd w:id="42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13.1.1 项约定为：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工程质量验收按技术规范及《公路工程质量检验评定标准》执行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13.1.4 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13.1.5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13.1.4 发包人和承包人应严格遵守《关于严格落实公路工程质量责任制的若干意见》的相关规定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认真执行工程质量责任登记制度并按要求填写工程质量责任登记表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13.1.5 本项目严格执行质量责任追究制度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质量事故处理实行“四不放过”原则：事故原因调查不清不放过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事故责任者没有受到教育不放过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没有防范措施不放过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相关责任人没受到处理不放过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26" w:name="_Toc30191"/>
      <w:bookmarkStart w:id="427" w:name="_Toc32267"/>
      <w:r>
        <w:rPr>
          <w:rFonts w:hint="eastAsia" w:ascii="宋体" w:hAnsi="宋体" w:eastAsia="宋体" w:cs="宋体"/>
          <w:spacing w:val="14"/>
          <w:sz w:val="24"/>
          <w:szCs w:val="24"/>
        </w:rPr>
        <w:t>13.2 承包人的质量管理</w:t>
      </w:r>
      <w:bookmarkEnd w:id="426"/>
      <w:bookmarkEnd w:id="42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13.2.1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承包人提交工程质量保证措施文件的期限：签订合同协议书后 28 天之内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13.2.3 项~第 13.2.10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13.2.3 公路工程施行质量责任终身制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承包人应当书面明确相应的项目负责人和质量负责人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承包人的相关人员按照国家法律法规和有关规定在工程合理使用年限内承担相应的质量责任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13.2.4 承包人应当建立健全工程质量保证体系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制定质量管理制度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强化工程质量管理措施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完善工程质量目标保障机制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严格遵守国家有关法律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法规和规章</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严格执行公路工程强制性技术标准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各类技术规范及规程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全面履行工程合同义务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13.2.5 承包人对工程施工质量负责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应当按合同约定设立现场质量管理机构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配备工程技术人员和质量管理人员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落实工程施工质量责任制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13.2.6 承包人应当严格按照工程设计图纸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施工技术标准和合同约定施工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对原材料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混合料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构配件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工程实体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机电设备等进行检验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按规定施行班组自检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工序交接检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专职质检员检验的质量控制程序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对分项工程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分部工程和单位工程进行质量自评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检验或者自评不合格的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不得进入下道工序或者投入使用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13.2.7 承包人应当加强施工过程质量控制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并形成完整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可追溯的施工质量管理资料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主体工程的隐蔽部位施工还应当保留影像资料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对施工中出现的质量问题或者验收不合格的工程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应当负责返工处理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对在保修范围和保修期限内发生质量问题的工程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应当履行保修义务</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13.2.8 承包人应当按照合同约定设立工地临时试验室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配齐检测和试验仪器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仪表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及时校正确保其精度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严格按照工程技术标准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检测规范和规程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在核定的试验检测参数范围内开展试验检测活动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并确保规范规定的检验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抽检频率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承包人应当对其设立的工地临时试验室所出具的试验检测数据和报告的真实性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客观性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准确性负责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13.2.9 承包人应当依法规范分包行为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并对承担的工程质量负总责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分包单位对分包合同范围内的工程质量负责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13.2.10 承包人驻工程现场机构应在现场驻地和重要的分部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分项工程施工现场设置明显的工程质量责任登记表公示牌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28" w:name="_Toc10544"/>
      <w:bookmarkStart w:id="429" w:name="_Toc17580"/>
      <w:r>
        <w:rPr>
          <w:rFonts w:hint="eastAsia" w:ascii="宋体" w:hAnsi="宋体" w:eastAsia="宋体" w:cs="宋体"/>
          <w:spacing w:val="14"/>
          <w:sz w:val="24"/>
          <w:szCs w:val="24"/>
        </w:rPr>
        <w:t>13.4 监理人的质量检查</w:t>
      </w:r>
      <w:bookmarkEnd w:id="428"/>
      <w:bookmarkEnd w:id="42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监理人及其委派的检验人员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应能进入工程现场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以及材料或工程设备的制造</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加工或制配的车间和场所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包括不属于承包人的车间或场所进行检查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承包人应为此提供便利和协助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监理人可以将材料或工程设备的检查和检验委托给一家独立的有质量检验认证资格的检验单位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该独立检验单位的检验结果应视为监理人完成的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监理人应将这种委托的通知书不少于 7 天前交给承包人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30" w:name="_Toc249"/>
      <w:bookmarkStart w:id="431" w:name="_Toc10344"/>
      <w:r>
        <w:rPr>
          <w:rFonts w:hint="eastAsia" w:ascii="宋体" w:hAnsi="宋体" w:eastAsia="宋体" w:cs="宋体"/>
          <w:spacing w:val="14"/>
          <w:sz w:val="24"/>
          <w:szCs w:val="24"/>
        </w:rPr>
        <w:t>13.5 工程隐蔽部位覆盖前的检查</w:t>
      </w:r>
      <w:bookmarkEnd w:id="430"/>
      <w:bookmarkEnd w:id="43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13.5.1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当监理人有指令时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承包人应对重要隐蔽工程进行拍摄或照相并应保证监理人有充分的机会对将要覆盖或掩蔽的工程进行检查和量测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特别是在基础以上的任一部分工程修筑之前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对该基础进行检查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32" w:name="_Toc3147"/>
      <w:bookmarkStart w:id="433" w:name="_Toc31331"/>
      <w:r>
        <w:rPr>
          <w:rFonts w:hint="eastAsia" w:ascii="宋体" w:hAnsi="宋体" w:eastAsia="宋体" w:cs="宋体"/>
          <w:spacing w:val="14"/>
          <w:sz w:val="24"/>
          <w:szCs w:val="24"/>
        </w:rPr>
        <w:t>13.6 清除不合格工程</w:t>
      </w:r>
      <w:bookmarkEnd w:id="432"/>
      <w:bookmarkEnd w:id="43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13.6.1 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（1）承包人使用不合格材料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或采用不适当的施工工艺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或施工不当</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造成工程不合格的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监理人可以随时发出指示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要求承包人立即采取措施进行替换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补救或拆除重建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直至达到合同要求的质量标准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由此增加的费用和（或）工期延误由承包人承担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（2）如果承包人未在规定时间内执行监理人的指示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发包人有权雇用他人执行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由此增加的费用和（或）工期延误由承包人承担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34" w:name="_Toc9858"/>
      <w:bookmarkStart w:id="435" w:name="_Toc30348"/>
      <w:r>
        <w:rPr>
          <w:rFonts w:hint="eastAsia" w:ascii="宋体" w:hAnsi="宋体" w:eastAsia="宋体" w:cs="宋体"/>
          <w:spacing w:val="14"/>
          <w:sz w:val="24"/>
          <w:szCs w:val="24"/>
        </w:rPr>
        <w:t>14. 试验和检验</w:t>
      </w:r>
      <w:bookmarkEnd w:id="434"/>
      <w:bookmarkEnd w:id="43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本条补充第 14.4 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36" w:name="_Toc27769"/>
      <w:bookmarkStart w:id="437" w:name="_Toc18692"/>
      <w:r>
        <w:rPr>
          <w:rFonts w:hint="eastAsia" w:ascii="宋体" w:hAnsi="宋体" w:eastAsia="宋体" w:cs="宋体"/>
          <w:spacing w:val="14"/>
          <w:sz w:val="24"/>
          <w:szCs w:val="24"/>
        </w:rPr>
        <w:t>14.4 试验和检验费用</w:t>
      </w:r>
      <w:bookmarkEnd w:id="436"/>
      <w:bookmarkEnd w:id="43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（1）承包人应负责提供合同和技术规范规定的试验和检验所需的全部样品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并承担其费用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（2）在合同中明确规定的试验和检验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包括无须在工程量清单中单独列项和已在工程量清单中单独列项的试验和检验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其试验和检验的费用由承包人承担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（3）如果监理人所要求做的试验和检验为合同未规定的或是在该材料或工程设备的制造</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加工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制配场地以外的场所进行的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则检验结束后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如表明操作工艺或材料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工程设备未能符合合同规定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其费用应由承包人承担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否则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其费用应由发包人承担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38" w:name="_Toc18771"/>
      <w:bookmarkStart w:id="439" w:name="_Toc23826"/>
      <w:r>
        <w:rPr>
          <w:rFonts w:hint="eastAsia" w:ascii="宋体" w:hAnsi="宋体" w:eastAsia="宋体" w:cs="宋体"/>
          <w:spacing w:val="14"/>
          <w:sz w:val="24"/>
          <w:szCs w:val="24"/>
        </w:rPr>
        <w:t>15. 变更</w:t>
      </w:r>
      <w:bookmarkEnd w:id="438"/>
      <w:bookmarkEnd w:id="43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40" w:name="_Toc8401"/>
      <w:bookmarkStart w:id="441" w:name="_Toc7576"/>
      <w:r>
        <w:rPr>
          <w:rFonts w:hint="eastAsia" w:ascii="宋体" w:hAnsi="宋体" w:eastAsia="宋体" w:cs="宋体"/>
          <w:spacing w:val="14"/>
          <w:sz w:val="24"/>
          <w:szCs w:val="24"/>
        </w:rPr>
        <w:t>15.1 变更的范围和内容</w:t>
      </w:r>
      <w:bookmarkEnd w:id="440"/>
      <w:bookmarkEnd w:id="44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本款第（1）项细化为：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（1）取消合同中任何一项工作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但被取消的工作不能转由发包人或其他人实施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由于承包人违约造成的情况除外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42" w:name="_Toc4710"/>
      <w:bookmarkStart w:id="443" w:name="_Toc22436"/>
      <w:r>
        <w:rPr>
          <w:rFonts w:hint="eastAsia" w:ascii="宋体" w:hAnsi="宋体" w:eastAsia="宋体" w:cs="宋体"/>
          <w:spacing w:val="14"/>
          <w:sz w:val="24"/>
          <w:szCs w:val="24"/>
        </w:rPr>
        <w:t>15.3 变更程序</w:t>
      </w:r>
      <w:bookmarkEnd w:id="442"/>
      <w:bookmarkEnd w:id="44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15.3.4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15.3.4 设计变更程序应执行《公路工程设计变更管理办法》的相关规定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44" w:name="_Toc20200"/>
      <w:bookmarkStart w:id="445" w:name="_Toc8598"/>
      <w:r>
        <w:rPr>
          <w:rFonts w:hint="eastAsia" w:ascii="宋体" w:hAnsi="宋体" w:eastAsia="宋体" w:cs="宋体"/>
          <w:spacing w:val="14"/>
          <w:sz w:val="24"/>
          <w:szCs w:val="24"/>
        </w:rPr>
        <w:t>15.4 变更的估价原则</w:t>
      </w:r>
      <w:bookmarkEnd w:id="444"/>
      <w:bookmarkEnd w:id="44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除项目专用合同条款另有约定外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因变更引起的价格调整按照本款约定处理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15.4.1 如果取消某项工作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则该项工作的总额价不予支付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15.4.2 已标价工程量清单中有适用于变更工作的子目的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采用该子目的单价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15.4.3 已标价工程量清单中无适用于变更工作的子目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但有类似子目的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可在合理范围内参照类似子目的单价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由监理人按第 3.5 款商定或确定变更工作的单价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15.4.4 已标价工程量清单中无适用或类似子目的单价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可在综合考虑承包人在投标时所提供的单价分析表的基础上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由监理人按第 3.5 款商定或确定变更工作的单价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15.4.5 如果本工程的变更指示是因承包人过错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承包人违反合同或承包人责任造成的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则这种违约引起的任何额外费用应由承包人承担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46" w:name="_Toc23214"/>
      <w:bookmarkStart w:id="447" w:name="_Toc14671"/>
      <w:r>
        <w:rPr>
          <w:rFonts w:hint="eastAsia" w:ascii="宋体" w:hAnsi="宋体" w:eastAsia="宋体" w:cs="宋体"/>
          <w:spacing w:val="14"/>
          <w:sz w:val="24"/>
          <w:szCs w:val="24"/>
        </w:rPr>
        <w:t>15.5 承包人的合理化建议</w:t>
      </w:r>
      <w:bookmarkEnd w:id="446"/>
      <w:bookmarkEnd w:id="44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15.5.2 项约定为：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承包人提出的合理化建议缩短了工期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发包人按第 11.6 款的规定给予奖励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承包人提出的合理化建议降低了合同价格或者提高了工程经济效益的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发包人按项目专用合同条款数据表中规定的金额给予奖励</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48" w:name="_Toc11531"/>
      <w:bookmarkStart w:id="449" w:name="_Toc24388"/>
      <w:r>
        <w:rPr>
          <w:rFonts w:hint="eastAsia" w:ascii="宋体" w:hAnsi="宋体" w:eastAsia="宋体" w:cs="宋体"/>
          <w:spacing w:val="14"/>
          <w:sz w:val="24"/>
          <w:szCs w:val="24"/>
        </w:rPr>
        <w:t>15.6 暂列金额</w:t>
      </w:r>
      <w:bookmarkEnd w:id="448"/>
      <w:bookmarkEnd w:id="44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15.6.1 暂列金额应由监理人报发包人批准后指令全部或部分地使用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或者根本不予动用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15.6.2 对于经发包人批准的每一笔暂列金额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监理人有权向承包人发出实施工程或提供材料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工程设备或服务的指令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这些指令应由承包人完成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监理人应根据第15.4 款约定的变更估价原则和第 15.7 款的规定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对合同价格进行相应调整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15.6.3 当监理人提出要求时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承包人应提供有关暂列金额支出的所有报价单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凭证和账单或收据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除非该工作是根据已标价工程量清单列明的单价或总额价进行的估价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50" w:name="_Toc12054"/>
      <w:bookmarkStart w:id="451" w:name="_Toc13745"/>
      <w:r>
        <w:rPr>
          <w:rFonts w:hint="eastAsia" w:ascii="宋体" w:hAnsi="宋体" w:eastAsia="宋体" w:cs="宋体"/>
          <w:spacing w:val="14"/>
          <w:sz w:val="24"/>
          <w:szCs w:val="24"/>
        </w:rPr>
        <w:t>16. 价格调整</w:t>
      </w:r>
      <w:bookmarkEnd w:id="450"/>
      <w:bookmarkEnd w:id="45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52" w:name="_Toc26366"/>
      <w:bookmarkStart w:id="453" w:name="_Toc29305"/>
      <w:r>
        <w:rPr>
          <w:rFonts w:hint="eastAsia" w:ascii="宋体" w:hAnsi="宋体" w:eastAsia="宋体" w:cs="宋体"/>
          <w:spacing w:val="14"/>
          <w:sz w:val="24"/>
          <w:szCs w:val="24"/>
        </w:rPr>
        <w:t>16.1 物价波动引起的价格调整</w:t>
      </w:r>
      <w:bookmarkEnd w:id="452"/>
      <w:bookmarkEnd w:id="45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（1）除项目专用合同条款另有约定外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因物价波动引起的价格调整应按项目专用合同条款数据表的规定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按照第 16.1.1 项或第 16.1.2 项约定的原则处理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（2）在合同执行期间（包括工期拖延期间）由于人工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材料和设备价格的上涨而引起工程施工成本增加的风险由承包人自行承担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合同价格不会因此而调整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16.1.1 采用价格指数调整价格差额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16.1.1.1 价格调整公式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价格调整公式后增加备注如下：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cs="宋体"/>
          <w:sz w:val="24"/>
        </w:rPr>
        <w:object>
          <v:shape id="_x0000_i1026" o:spt="75" type="#_x0000_t75" style="height:37.25pt;width:255.65pt;" o:ole="t" filled="f" o:preferrelative="t" stroked="f" coordsize="21600,21600">
            <v:path/>
            <v:fill on="f" focussize="0,0"/>
            <v:stroke on="f" weight="3pt"/>
            <v:imagedata r:id="rId20" o:title=""/>
            <o:lock v:ext="edit" aspectratio="t"/>
            <w10:wrap type="none"/>
            <w10:anchorlock/>
          </v:shape>
          <o:OLEObject Type="Embed" ProgID="Equation.KSEE3" ShapeID="_x0000_i1026" DrawAspect="Content" ObjectID="_1468075726" r:id="rId21">
            <o:LockedField>false</o:LockedField>
          </o:OLEObject>
        </w:objec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式中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A=1－（B1＋B2＋B3＋……＋Bn）</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本目最后一段文字细化为：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在采用价格调整公式进行调价时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还应遵守以下规定：</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（1）以上价格调整公式中的各可调因子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定值权重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以及基本价格指数及其来源由发包人在投标函附录价格指数和权重表中约定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价格指数应首先采用国家或省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自治区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直辖市价格部门或统计部门提供的价格指数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缺乏上述价格指数时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可采用上述部门提供的价格代替</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（2）价格调整公式中的变值权重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由发包人根据项目实际情况测算确定范围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并在投标函附录价格指数和权重表中约定范围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承包人在投标时在此范围内填写各可调因子的权重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合同实施期间将按此权重进行调价</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54" w:name="_Toc17371"/>
      <w:bookmarkStart w:id="455" w:name="_Toc30244"/>
      <w:r>
        <w:rPr>
          <w:rFonts w:hint="eastAsia" w:ascii="宋体" w:hAnsi="宋体" w:eastAsia="宋体" w:cs="宋体"/>
          <w:spacing w:val="14"/>
          <w:sz w:val="24"/>
          <w:szCs w:val="24"/>
        </w:rPr>
        <w:t>17. 计量与支付</w:t>
      </w:r>
      <w:bookmarkEnd w:id="454"/>
      <w:bookmarkEnd w:id="45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56" w:name="_Toc28537"/>
      <w:bookmarkStart w:id="457" w:name="_Toc17036"/>
      <w:r>
        <w:rPr>
          <w:rFonts w:hint="eastAsia" w:ascii="宋体" w:hAnsi="宋体" w:eastAsia="宋体" w:cs="宋体"/>
          <w:spacing w:val="14"/>
          <w:sz w:val="24"/>
          <w:szCs w:val="24"/>
        </w:rPr>
        <w:t>17.1 计量</w:t>
      </w:r>
      <w:bookmarkEnd w:id="456"/>
      <w:bookmarkEnd w:id="45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17.1.2 计量方法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工程的计量应以净值为准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除非项目专用合同条款另有约定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工程量清单中各个子目的具体计量方法按本合同文件工程量清单计量规则中的规定执行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17.1.4 单价子目的计量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（7）承包人未在已标价工程量清单中填入单价或总额价的工程子目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将被认为其已包含在本合同的其他子目的单价和总额价中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发包人将不另行支付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17.1.5 总价子目的计量</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本项目工程量清单中要求承包人以“总额”方式报价的子目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各子目的支付原则和支付进度按项目专用合同条款的规定执行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58" w:name="_Toc30254"/>
      <w:bookmarkStart w:id="459" w:name="_Toc1738"/>
      <w:r>
        <w:rPr>
          <w:rFonts w:hint="eastAsia" w:ascii="宋体" w:hAnsi="宋体" w:eastAsia="宋体" w:cs="宋体"/>
          <w:spacing w:val="14"/>
          <w:sz w:val="24"/>
          <w:szCs w:val="24"/>
        </w:rPr>
        <w:t>17.2 预付款</w:t>
      </w:r>
      <w:bookmarkEnd w:id="458"/>
      <w:bookmarkEnd w:id="45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17.2.1 预付款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预付款包括开工预付款和材料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设备预付款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具体额度和预付办法如下：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（1）开工预付款的金额在项目专用合同条款数据表中约定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在承包人签订了合同协议书且承包人承诺的主要设备进场后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监理人应在当期进度付款证书中向承包人支付开工预付款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承包人不得将该预付款用于与本工程无关的支出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监理人有权监督承包人对该项费用的使用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如经查实承包人滥用开工预付款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发包人有权立即向银行索赔履约保证金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并解除合同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设备预付款按项目专用合同条款数据表中所列主要材料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设备单据费用（进口的材料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设备为到岸价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国内采购的为出厂价或销售价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地方材料为堆场价）的百分比支付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其预付条件为：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a. 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设备符合规范要求并经监理人认可</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b. 承包人已出具材料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设备费用凭证或支付单据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c. 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设备已在现场交货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且存储良好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监理人认为材料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设备的存储方法符合要求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监理人应将此项金额作为材料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设备预付款计入下一次的进度付款证书中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在预计交工前 3 个月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将不再支付材料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设备预付款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17.2.2 预付款保函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承包人无须向发包人提交预付款保函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发包人向承包人支付的预付款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应按照本合同第 17.2.1 项规定使用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承包人提交的履约保证金对预付款的正常使用承担保证责任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17.2.3 预付款的扣回与还清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w:t>
      </w:r>
      <w:r>
        <w:rPr>
          <w:rFonts w:hint="eastAsia" w:ascii="宋体" w:hAnsi="宋体" w:eastAsia="宋体" w:cs="宋体"/>
          <w:spacing w:val="14"/>
          <w:sz w:val="24"/>
          <w:szCs w:val="24"/>
          <w:highlight w:val="yellow"/>
        </w:rPr>
        <w:t>开工预付款</w:t>
      </w:r>
      <w:r>
        <w:rPr>
          <w:rFonts w:hint="eastAsia" w:ascii="宋体" w:hAnsi="宋体" w:eastAsia="宋体" w:cs="宋体"/>
          <w:spacing w:val="14"/>
          <w:sz w:val="24"/>
          <w:szCs w:val="24"/>
          <w:highlight w:val="yellow"/>
          <w:lang w:eastAsia="zh-CN"/>
        </w:rPr>
        <w:t>支付金额为合同金额的</w:t>
      </w:r>
      <w:r>
        <w:rPr>
          <w:rFonts w:hint="eastAsia" w:ascii="宋体" w:hAnsi="宋体" w:eastAsia="宋体" w:cs="宋体"/>
          <w:spacing w:val="14"/>
          <w:sz w:val="24"/>
          <w:szCs w:val="24"/>
          <w:highlight w:val="yellow"/>
          <w:lang w:val="en-US" w:eastAsia="zh-CN"/>
        </w:rPr>
        <w:t>15%，</w:t>
      </w:r>
      <w:r>
        <w:rPr>
          <w:rFonts w:hint="eastAsia" w:ascii="宋体" w:hAnsi="宋体" w:eastAsia="宋体" w:cs="宋体"/>
          <w:spacing w:val="14"/>
          <w:sz w:val="24"/>
          <w:szCs w:val="24"/>
          <w:highlight w:val="yellow"/>
        </w:rPr>
        <w:t>在进度付款证书的累计金额未达到签约合同价的</w:t>
      </w:r>
      <w:r>
        <w:rPr>
          <w:rFonts w:hint="eastAsia" w:ascii="宋体" w:hAnsi="宋体" w:eastAsia="宋体" w:cs="宋体"/>
          <w:spacing w:val="14"/>
          <w:sz w:val="24"/>
          <w:szCs w:val="24"/>
          <w:highlight w:val="yellow"/>
          <w:lang w:val="en-US" w:eastAsia="zh-CN"/>
        </w:rPr>
        <w:t>2</w:t>
      </w:r>
      <w:r>
        <w:rPr>
          <w:rFonts w:hint="eastAsia" w:ascii="宋体" w:hAnsi="宋体" w:eastAsia="宋体" w:cs="宋体"/>
          <w:spacing w:val="14"/>
          <w:sz w:val="24"/>
          <w:szCs w:val="24"/>
          <w:highlight w:val="yellow"/>
        </w:rPr>
        <w:t>0%之前不予扣回</w:t>
      </w:r>
      <w:r>
        <w:rPr>
          <w:rFonts w:hint="eastAsia" w:ascii="宋体" w:hAnsi="宋体" w:eastAsia="宋体" w:cs="宋体"/>
          <w:spacing w:val="14"/>
          <w:sz w:val="24"/>
          <w:szCs w:val="24"/>
          <w:highlight w:val="yellow"/>
          <w:lang w:eastAsia="zh-CN"/>
        </w:rPr>
        <w:t>，</w:t>
      </w:r>
      <w:r>
        <w:rPr>
          <w:rFonts w:hint="eastAsia" w:ascii="宋体" w:hAnsi="宋体" w:eastAsia="宋体" w:cs="宋体"/>
          <w:spacing w:val="14"/>
          <w:sz w:val="24"/>
          <w:szCs w:val="24"/>
          <w:highlight w:val="yellow"/>
        </w:rPr>
        <w:t>在达到签约合同价</w:t>
      </w:r>
      <w:r>
        <w:rPr>
          <w:rFonts w:hint="eastAsia" w:ascii="宋体" w:hAnsi="宋体" w:eastAsia="宋体" w:cs="宋体"/>
          <w:spacing w:val="14"/>
          <w:sz w:val="24"/>
          <w:szCs w:val="24"/>
          <w:highlight w:val="yellow"/>
          <w:lang w:val="en-US" w:eastAsia="zh-CN"/>
        </w:rPr>
        <w:t>2</w:t>
      </w:r>
      <w:r>
        <w:rPr>
          <w:rFonts w:hint="eastAsia" w:ascii="宋体" w:hAnsi="宋体" w:eastAsia="宋体" w:cs="宋体"/>
          <w:spacing w:val="14"/>
          <w:sz w:val="24"/>
          <w:szCs w:val="24"/>
          <w:highlight w:val="yellow"/>
        </w:rPr>
        <w:t>0%之后</w:t>
      </w:r>
      <w:r>
        <w:rPr>
          <w:rFonts w:hint="eastAsia" w:ascii="宋体" w:hAnsi="宋体" w:eastAsia="宋体" w:cs="宋体"/>
          <w:spacing w:val="14"/>
          <w:sz w:val="24"/>
          <w:szCs w:val="24"/>
          <w:highlight w:val="yellow"/>
          <w:lang w:eastAsia="zh-CN"/>
        </w:rPr>
        <w:t>，</w:t>
      </w:r>
      <w:r>
        <w:rPr>
          <w:rFonts w:hint="eastAsia" w:ascii="宋体" w:hAnsi="宋体" w:eastAsia="宋体" w:cs="宋体"/>
          <w:spacing w:val="14"/>
          <w:sz w:val="24"/>
          <w:szCs w:val="24"/>
          <w:highlight w:val="yellow"/>
        </w:rPr>
        <w:t>开始按工程进度以固定比例（即每完成签约合同价的1%</w:t>
      </w:r>
      <w:r>
        <w:rPr>
          <w:rFonts w:hint="eastAsia" w:ascii="宋体" w:hAnsi="宋体" w:eastAsia="宋体" w:cs="宋体"/>
          <w:spacing w:val="14"/>
          <w:sz w:val="24"/>
          <w:szCs w:val="24"/>
          <w:highlight w:val="yellow"/>
          <w:lang w:eastAsia="zh-CN"/>
        </w:rPr>
        <w:t>，</w:t>
      </w:r>
      <w:r>
        <w:rPr>
          <w:rFonts w:hint="eastAsia" w:ascii="宋体" w:hAnsi="宋体" w:eastAsia="宋体" w:cs="宋体"/>
          <w:spacing w:val="14"/>
          <w:sz w:val="24"/>
          <w:szCs w:val="24"/>
          <w:highlight w:val="yellow"/>
        </w:rPr>
        <w:t>扣回开工预付款的2%）分期从各月的进度付款证书中扣回</w:t>
      </w:r>
      <w:r>
        <w:rPr>
          <w:rFonts w:hint="eastAsia" w:ascii="宋体" w:hAnsi="宋体" w:eastAsia="宋体" w:cs="宋体"/>
          <w:spacing w:val="14"/>
          <w:sz w:val="24"/>
          <w:szCs w:val="24"/>
          <w:highlight w:val="yellow"/>
          <w:lang w:eastAsia="zh-CN"/>
        </w:rPr>
        <w:t>，</w:t>
      </w:r>
      <w:r>
        <w:rPr>
          <w:rFonts w:hint="eastAsia" w:ascii="宋体" w:hAnsi="宋体" w:eastAsia="宋体" w:cs="宋体"/>
          <w:spacing w:val="14"/>
          <w:sz w:val="24"/>
          <w:szCs w:val="24"/>
          <w:highlight w:val="yellow"/>
        </w:rPr>
        <w:t>全部金额在进度付款证书的累计金额达到签约合同价的</w:t>
      </w:r>
      <w:r>
        <w:rPr>
          <w:rFonts w:hint="eastAsia" w:ascii="宋体" w:hAnsi="宋体" w:eastAsia="宋体" w:cs="宋体"/>
          <w:spacing w:val="14"/>
          <w:sz w:val="24"/>
          <w:szCs w:val="24"/>
          <w:highlight w:val="yellow"/>
          <w:lang w:val="en-US" w:eastAsia="zh-CN"/>
        </w:rPr>
        <w:t>7</w:t>
      </w:r>
      <w:r>
        <w:rPr>
          <w:rFonts w:hint="eastAsia" w:ascii="宋体" w:hAnsi="宋体" w:eastAsia="宋体" w:cs="宋体"/>
          <w:spacing w:val="14"/>
          <w:sz w:val="24"/>
          <w:szCs w:val="24"/>
          <w:highlight w:val="yellow"/>
        </w:rPr>
        <w:t>0%时扣完</w:t>
      </w:r>
      <w:r>
        <w:rPr>
          <w:rFonts w:hint="eastAsia" w:ascii="宋体" w:hAnsi="宋体" w:eastAsia="宋体" w:cs="宋体"/>
          <w:spacing w:val="14"/>
          <w:sz w:val="24"/>
          <w:szCs w:val="24"/>
          <w:highlight w:val="yellow"/>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（2）当材料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设备已用于或安装在永久工程之中时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设备预付款应从进度付款证书中扣回</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扣回期不超过 3 个月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已经支付材料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设备预付款的材料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设备的所有权应属于发包人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60" w:name="_Toc5336"/>
      <w:bookmarkStart w:id="461" w:name="_Toc28315"/>
      <w:r>
        <w:rPr>
          <w:rFonts w:hint="eastAsia" w:ascii="宋体" w:hAnsi="宋体" w:eastAsia="宋体" w:cs="宋体"/>
          <w:spacing w:val="14"/>
          <w:sz w:val="24"/>
          <w:szCs w:val="24"/>
        </w:rPr>
        <w:t>17.3 工程进度付款</w:t>
      </w:r>
      <w:bookmarkEnd w:id="460"/>
      <w:bookmarkEnd w:id="46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17.3.3 进度付款证书和支付时间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本项（1）目补充：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如果该付款周期应结算的价款经扣留和扣回后的款额少于项目专用合同条款数据表中列明的进度付款证书的最低金额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则该付款周期监理人可不核证支付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上述款额将按付款周期结转</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直至累计应支付的款额达到项目专用合同条款数据表中列明的进度付款证书的最低金额为止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本项（2）目细化为：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发包人应在监理人收到进度付款申请单且承包人提交了合格的增值税专用发票后的 28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将进度应付款支付给承包人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发包人不按期支付的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按项目专用合同条款数据表中约定的利率向承包人支付逾期付款违约金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违约金计算基数为发包人的全部未付款额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时间从应付而未付该款额之日算起（不计复利）</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17.3.5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17.3.5 农民工工资保证金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highlight w:val="yellow"/>
        </w:rPr>
      </w:pPr>
      <w:r>
        <w:rPr>
          <w:rFonts w:hint="eastAsia" w:ascii="宋体" w:hAnsi="宋体" w:eastAsia="宋体" w:cs="宋体"/>
          <w:spacing w:val="14"/>
          <w:sz w:val="24"/>
          <w:szCs w:val="24"/>
          <w:highlight w:val="yellow"/>
        </w:rPr>
        <w:t>（1）扣留当期计量金额的</w:t>
      </w:r>
      <w:r>
        <w:rPr>
          <w:rFonts w:hint="eastAsia" w:ascii="宋体" w:hAnsi="宋体" w:eastAsia="宋体" w:cs="宋体"/>
          <w:spacing w:val="14"/>
          <w:sz w:val="24"/>
          <w:szCs w:val="24"/>
          <w:highlight w:val="yellow"/>
          <w:lang w:val="en-US" w:eastAsia="zh-CN"/>
        </w:rPr>
        <w:t>2</w:t>
      </w:r>
      <w:r>
        <w:rPr>
          <w:rFonts w:hint="eastAsia" w:ascii="宋体" w:hAnsi="宋体" w:eastAsia="宋体" w:cs="宋体"/>
          <w:spacing w:val="14"/>
          <w:sz w:val="24"/>
          <w:szCs w:val="24"/>
          <w:highlight w:val="yellow"/>
        </w:rPr>
        <w:t>%，农民工保证金限额：累计计量金额的</w:t>
      </w:r>
      <w:r>
        <w:rPr>
          <w:rFonts w:hint="eastAsia" w:ascii="宋体" w:hAnsi="宋体" w:eastAsia="宋体" w:cs="宋体"/>
          <w:spacing w:val="14"/>
          <w:sz w:val="24"/>
          <w:szCs w:val="24"/>
          <w:highlight w:val="yellow"/>
          <w:lang w:val="en-US" w:eastAsia="zh-CN"/>
        </w:rPr>
        <w:t>2</w:t>
      </w:r>
      <w:r>
        <w:rPr>
          <w:rFonts w:hint="eastAsia" w:ascii="宋体" w:hAnsi="宋体" w:eastAsia="宋体" w:cs="宋体"/>
          <w:spacing w:val="14"/>
          <w:sz w:val="24"/>
          <w:szCs w:val="24"/>
          <w:highlight w:val="yellow"/>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（2）为确保施工过程中农民工工资实时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足额发放到位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承包人应按照项目专用合同条款约定的时间和金额缴存农民工工资保证金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w:t>
      </w:r>
      <w:r>
        <w:rPr>
          <w:rFonts w:hint="eastAsia" w:ascii="宋体" w:hAnsi="宋体" w:eastAsia="宋体" w:cs="宋体"/>
          <w:spacing w:val="14"/>
          <w:sz w:val="24"/>
          <w:szCs w:val="24"/>
          <w:lang w:val="en-US" w:eastAsia="zh-CN"/>
        </w:rPr>
        <w:t>3</w:t>
      </w:r>
      <w:r>
        <w:rPr>
          <w:rFonts w:hint="eastAsia" w:ascii="宋体" w:hAnsi="宋体" w:eastAsia="宋体" w:cs="宋体"/>
          <w:spacing w:val="14"/>
          <w:sz w:val="24"/>
          <w:szCs w:val="24"/>
        </w:rPr>
        <w:t>）农民工工资保证金可采用银行保函或现金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支票形式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采用银行保函时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出具保函的银行须具有相应担保能力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且按照发包人批准的格式出具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所需费用由承包人承担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w:t>
      </w:r>
      <w:r>
        <w:rPr>
          <w:rFonts w:hint="eastAsia" w:ascii="宋体" w:hAnsi="宋体" w:eastAsia="宋体" w:cs="宋体"/>
          <w:spacing w:val="14"/>
          <w:sz w:val="24"/>
          <w:szCs w:val="24"/>
          <w:lang w:val="en-US" w:eastAsia="zh-CN"/>
        </w:rPr>
        <w:t>4</w:t>
      </w:r>
      <w:r>
        <w:rPr>
          <w:rFonts w:hint="eastAsia" w:ascii="宋体" w:hAnsi="宋体" w:eastAsia="宋体" w:cs="宋体"/>
          <w:spacing w:val="14"/>
          <w:sz w:val="24"/>
          <w:szCs w:val="24"/>
        </w:rPr>
        <w:t>）农民工工资保证金的扣留条件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返还时间按照项目专用合同条款的约定执行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62" w:name="_Toc29232"/>
      <w:bookmarkStart w:id="463" w:name="_Toc18108"/>
      <w:r>
        <w:rPr>
          <w:rFonts w:hint="eastAsia" w:ascii="宋体" w:hAnsi="宋体" w:eastAsia="宋体" w:cs="宋体"/>
          <w:spacing w:val="14"/>
          <w:sz w:val="24"/>
          <w:szCs w:val="24"/>
        </w:rPr>
        <w:t>17.4 质量保证金</w:t>
      </w:r>
      <w:bookmarkEnd w:id="462"/>
      <w:bookmarkEnd w:id="46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17.4.1 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17.4.2 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17.4.1 交工验收证书签发后 14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承包人应向发包人缴纳质量保证金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质量保证金可采用银行保函或现金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支票形式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金额应符合项目专用合同条款数据表的规定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采用银行保函时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出具保函的银行须具有相应担保能力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且按照发包人批准的格式出具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所需费用由承包人承担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质量保证金采用现金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支票形式提交的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发包人应在项目专用合同条款数据表中明确是否计付利息以及利息的计算方式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17.4.2 在第 1.1.4.5 目约定的缺陷责任期满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且质量监督机构已按规定对工程质量检测鉴定合格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承包人向发包人申请到期应返还承包人剩余的质量保证金金额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发包人应在 14 天内会同承包人按照合同约定的内容核实承包人是否完成缺陷责任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如无异议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发包人应当在核实后将剩余保证金返还承包人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bookmarkStart w:id="464" w:name="_Toc30998"/>
      <w:bookmarkStart w:id="465" w:name="_Toc18446"/>
      <w:r>
        <w:rPr>
          <w:rFonts w:hint="eastAsia" w:ascii="宋体" w:hAnsi="宋体" w:eastAsia="宋体" w:cs="宋体"/>
          <w:spacing w:val="14"/>
          <w:sz w:val="24"/>
          <w:szCs w:val="24"/>
          <w:highlight w:val="yellow"/>
          <w:lang w:val="en-US" w:eastAsia="zh-CN"/>
        </w:rPr>
        <w:t>补充：</w:t>
      </w:r>
      <w:r>
        <w:rPr>
          <w:rFonts w:hint="eastAsia" w:ascii="宋体" w:hAnsi="宋体" w:eastAsia="宋体" w:cs="宋体"/>
          <w:spacing w:val="14"/>
          <w:sz w:val="24"/>
          <w:szCs w:val="24"/>
          <w:highlight w:val="yellow"/>
          <w:lang w:eastAsia="zh-CN"/>
        </w:rPr>
        <w:t>质量保证金在支付工程进度款时逐次扣留，质量保证金的计算基数不包括预付款的支付、扣回以及价格调整的金额，扣回基数为本期计量金额，扣回比例为</w:t>
      </w:r>
      <w:r>
        <w:rPr>
          <w:rFonts w:hint="eastAsia" w:ascii="宋体" w:hAnsi="宋体" w:eastAsia="宋体" w:cs="宋体"/>
          <w:spacing w:val="14"/>
          <w:sz w:val="24"/>
          <w:szCs w:val="24"/>
          <w:highlight w:val="yellow"/>
          <w:lang w:val="en-US" w:eastAsia="zh-CN"/>
        </w:rPr>
        <w:t>1.5</w:t>
      </w:r>
      <w:r>
        <w:rPr>
          <w:rFonts w:hint="eastAsia" w:ascii="宋体" w:hAnsi="宋体" w:eastAsia="宋体" w:cs="宋体"/>
          <w:spacing w:val="14"/>
          <w:sz w:val="24"/>
          <w:szCs w:val="24"/>
          <w:highlight w:val="yellow"/>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r>
        <w:rPr>
          <w:rFonts w:hint="eastAsia" w:ascii="宋体" w:hAnsi="宋体" w:eastAsia="宋体" w:cs="宋体"/>
          <w:spacing w:val="14"/>
          <w:sz w:val="24"/>
          <w:szCs w:val="24"/>
        </w:rPr>
        <w:t>17.5 交工结算</w:t>
      </w:r>
      <w:bookmarkEnd w:id="464"/>
      <w:bookmarkEnd w:id="46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17.5.1 交工付款申请单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本项（1）目约定为：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承包人向监理人提交交工付款申请单（包括相关证明材料）的份数在项目专用合同条款数据表中约定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期限：交工验收证书签发后 42 天内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17.5.2 交工付款证书及支付时间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本项（2）目细化为：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发包人应在监理人出具交工付款证书且承包人提交了合格的增值税专用发票后的 14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将应支付款支付给承包人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发包人不按期支付的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 17.3.3（2）目的约定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将逾期付款违约金支付给承包人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66" w:name="_Toc15782"/>
      <w:bookmarkStart w:id="467" w:name="_Toc26313"/>
      <w:r>
        <w:rPr>
          <w:rFonts w:hint="eastAsia" w:ascii="宋体" w:hAnsi="宋体" w:eastAsia="宋体" w:cs="宋体"/>
          <w:spacing w:val="14"/>
          <w:sz w:val="24"/>
          <w:szCs w:val="24"/>
        </w:rPr>
        <w:t>17.6 最终结清</w:t>
      </w:r>
      <w:bookmarkEnd w:id="466"/>
      <w:bookmarkEnd w:id="46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17.6.1 最终结清申请单</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本项（1）目约定为：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承包人向监理人提交最终结清申请单（包括相关证明材料）的份数在项目专用合同条款数据表中约定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期限：缺陷责任期终止证书签发后 28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最终结清申请单中的总金额应认为是代表了根据合同规定应付给承包人的全部款项的最后结算</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17.6.2 最终结清证书和支付时间</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本项（2）目细化为：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（2）发包人应在监理人出具最终结清证书且承包人提交了合格的增值税专用发票后的 14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将应支付款支付给承包人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发包人不按期支付的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按第 17.3.3（2）目的约定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将逾期付款违约金支付给承包人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68" w:name="_Toc27684"/>
      <w:bookmarkStart w:id="469" w:name="_Toc14574"/>
      <w:r>
        <w:rPr>
          <w:rFonts w:hint="eastAsia" w:ascii="宋体" w:hAnsi="宋体" w:eastAsia="宋体" w:cs="宋体"/>
          <w:spacing w:val="14"/>
          <w:sz w:val="24"/>
          <w:szCs w:val="24"/>
        </w:rPr>
        <w:t>18. 交工验收</w:t>
      </w:r>
      <w:bookmarkEnd w:id="468"/>
      <w:bookmarkEnd w:id="46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70" w:name="_Toc32521"/>
      <w:bookmarkStart w:id="471" w:name="_Toc18803"/>
      <w:r>
        <w:rPr>
          <w:rFonts w:hint="eastAsia" w:ascii="宋体" w:hAnsi="宋体" w:eastAsia="宋体" w:cs="宋体"/>
          <w:spacing w:val="14"/>
          <w:sz w:val="24"/>
          <w:szCs w:val="24"/>
        </w:rPr>
        <w:t>18.2 交工验收申请报告</w:t>
      </w:r>
      <w:bookmarkEnd w:id="470"/>
      <w:bookmarkEnd w:id="47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本款第（2）项约定为：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竣工资料的内容：承包人应按照《公路工程竣（交）工验收办法》和相关规定编制竣工资料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竣工资料的份数在项目专用合同条款数据表中约定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72" w:name="_Toc18091"/>
      <w:bookmarkStart w:id="473" w:name="_Toc14583"/>
      <w:r>
        <w:rPr>
          <w:rFonts w:hint="eastAsia" w:ascii="宋体" w:hAnsi="宋体" w:eastAsia="宋体" w:cs="宋体"/>
          <w:spacing w:val="14"/>
          <w:sz w:val="24"/>
          <w:szCs w:val="24"/>
        </w:rPr>
        <w:t>18.3 验收</w:t>
      </w:r>
      <w:bookmarkEnd w:id="472"/>
      <w:bookmarkEnd w:id="47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18.3.2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交工验收由发包人主持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运营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管理养护等有关部门代表组成交工验收小组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对本项目的工程质量进行评定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并写出交 工验收报告报交通运输主管部门备案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承包人应按发包人的要求提交竣工资料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完成交工验收准备工作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18.3.5 项约定为：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经验收合格工程的实际交工日期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以最终提交交工验收申请报告的日期为准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并在交工验收证书中写明</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本款补充第 18.3.7 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组织办理交工验收和签发交工验收证书的费用由发包人承担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但按照第 18.3.4项规定达不到合格标准的交工验收费用由承包人承担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本条补充第 18.9 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74" w:name="_Toc9574"/>
      <w:bookmarkStart w:id="475" w:name="_Toc7302"/>
      <w:r>
        <w:rPr>
          <w:rFonts w:hint="eastAsia" w:ascii="宋体" w:hAnsi="宋体" w:eastAsia="宋体" w:cs="宋体"/>
          <w:spacing w:val="14"/>
          <w:sz w:val="24"/>
          <w:szCs w:val="24"/>
        </w:rPr>
        <w:t>18.9 竣工文件</w:t>
      </w:r>
      <w:bookmarkEnd w:id="474"/>
      <w:bookmarkEnd w:id="47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承包人应按照《公路工程竣（交）工验收办法》的相关规定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在缺陷责任期内为竣工验收补充竣工资料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并在签发缺陷责任期终止证书之前提交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76" w:name="_Toc5273"/>
      <w:bookmarkStart w:id="477" w:name="_Toc19361"/>
      <w:r>
        <w:rPr>
          <w:rFonts w:hint="eastAsia" w:ascii="宋体" w:hAnsi="宋体" w:eastAsia="宋体" w:cs="宋体"/>
          <w:spacing w:val="14"/>
          <w:sz w:val="24"/>
          <w:szCs w:val="24"/>
        </w:rPr>
        <w:t>19. 缺陷责任与保修责任</w:t>
      </w:r>
      <w:bookmarkEnd w:id="476"/>
      <w:bookmarkEnd w:id="47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78" w:name="_Toc14638"/>
      <w:bookmarkStart w:id="479" w:name="_Toc18297"/>
      <w:r>
        <w:rPr>
          <w:rFonts w:hint="eastAsia" w:ascii="宋体" w:hAnsi="宋体" w:eastAsia="宋体" w:cs="宋体"/>
          <w:spacing w:val="14"/>
          <w:sz w:val="24"/>
          <w:szCs w:val="24"/>
        </w:rPr>
        <w:t>19.2 缺陷责任</w:t>
      </w:r>
      <w:bookmarkEnd w:id="478"/>
      <w:bookmarkEnd w:id="47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19.2.2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在缺陷责任期内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承包人应尽快完成在交工验收证书中写明的未完成工作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并完成对本工程缺陷的修复或监理人指令的修补工作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80" w:name="_Toc9960"/>
      <w:bookmarkStart w:id="481" w:name="_Toc1488"/>
      <w:r>
        <w:rPr>
          <w:rFonts w:hint="eastAsia" w:ascii="宋体" w:hAnsi="宋体" w:eastAsia="宋体" w:cs="宋体"/>
          <w:spacing w:val="14"/>
          <w:sz w:val="24"/>
          <w:szCs w:val="24"/>
        </w:rPr>
        <w:t>19.5 承包人的进入权</w:t>
      </w:r>
      <w:bookmarkEnd w:id="480"/>
      <w:bookmarkEnd w:id="48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承包人在缺陷修复施工过程中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应服从管养单位的有关安全管理规定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由于承包人自身原因造成的人员伤亡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设备和材料的损毁及罚款等责任由承包人自负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82" w:name="_Toc32246"/>
      <w:bookmarkStart w:id="483" w:name="_Toc1131"/>
      <w:r>
        <w:rPr>
          <w:rFonts w:hint="eastAsia" w:ascii="宋体" w:hAnsi="宋体" w:eastAsia="宋体" w:cs="宋体"/>
          <w:spacing w:val="14"/>
          <w:sz w:val="24"/>
          <w:szCs w:val="24"/>
        </w:rPr>
        <w:t>19.7 保修责任</w:t>
      </w:r>
      <w:bookmarkEnd w:id="482"/>
      <w:bookmarkEnd w:id="48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（1）保修期自实际交工日期起计算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具体期限在项目专用合同条款数据表中约定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保修期与缺陷责任期重叠的期间内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承包人的保修责任同缺陷责任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在缺陷责任期满后的保修期内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承包人可不在工地留有办事人员和机械设备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但必须随时与发包人保持联系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在保修期内承包人应对由于施工质量原因造成的损坏自费进行修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复</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（2）在全部工程交工验收前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已经发包人提前验收的单位工程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其保修期的起算日期相应提前</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（3）工程保修期终止后 28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监理人签发保修期终止证书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（4）若承包人不履行保修义务和责任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则承包人应承担由于违约造成的法律后果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并由发包人将其违约行为上报省级交通运输主管部门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作为不良记录纳入公路建设市场信用信息管理系统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84" w:name="_Toc5075"/>
      <w:bookmarkStart w:id="485" w:name="_Toc23138"/>
      <w:r>
        <w:rPr>
          <w:rFonts w:hint="eastAsia" w:ascii="宋体" w:hAnsi="宋体" w:eastAsia="宋体" w:cs="宋体"/>
          <w:spacing w:val="14"/>
          <w:sz w:val="24"/>
          <w:szCs w:val="24"/>
        </w:rPr>
        <w:t>20. 保险</w:t>
      </w:r>
      <w:bookmarkEnd w:id="484"/>
      <w:bookmarkEnd w:id="48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86" w:name="_Toc19969"/>
      <w:bookmarkStart w:id="487" w:name="_Toc10026"/>
      <w:r>
        <w:rPr>
          <w:rFonts w:hint="eastAsia" w:ascii="宋体" w:hAnsi="宋体" w:eastAsia="宋体" w:cs="宋体"/>
          <w:spacing w:val="14"/>
          <w:sz w:val="24"/>
          <w:szCs w:val="24"/>
        </w:rPr>
        <w:t>20.1 工程保险</w:t>
      </w:r>
      <w:bookmarkEnd w:id="486"/>
      <w:bookmarkEnd w:id="48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建筑工程一切险的投保内容：为本合同工程的永久工程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临时工程和设备及已运至施工工地用于永久工程的材料和设备所投的保险</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保险金额：工程量清单第 100 章（不含建筑工程一切险及第三者责任险的保险费）至第 700 章的合计金额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保险费率：在项目专用合同条款数据表中约定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保险期限：开工日起直至本合同工程签发缺陷责任期终止证书止（即合同工期＋缺陷责任期）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承包人应以发包人和承包人的共同名义投保建筑工程一切险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建筑工程一切险的保险费由承包人报价时列入工程量清单第 100 章内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发包人在接到保险单后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将按照保险单的费用直接向承包人支付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88" w:name="_Toc17977"/>
      <w:bookmarkStart w:id="489" w:name="_Toc2068"/>
      <w:r>
        <w:rPr>
          <w:rFonts w:hint="eastAsia" w:ascii="宋体" w:hAnsi="宋体" w:eastAsia="宋体" w:cs="宋体"/>
          <w:spacing w:val="14"/>
          <w:sz w:val="24"/>
          <w:szCs w:val="24"/>
        </w:rPr>
        <w:t>20.4 第三者责任险</w:t>
      </w:r>
      <w:bookmarkEnd w:id="488"/>
      <w:bookmarkEnd w:id="48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20.4.2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第三者责任险的保险费由承包人报价时列入工程量清单第 100 章内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发包人在接到保险单后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将按照保险单的费用直接向承包人支付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90" w:name="_Toc19507"/>
      <w:bookmarkStart w:id="491" w:name="_Toc17542"/>
      <w:r>
        <w:rPr>
          <w:rFonts w:hint="eastAsia" w:ascii="宋体" w:hAnsi="宋体" w:eastAsia="宋体" w:cs="宋体"/>
          <w:spacing w:val="14"/>
          <w:sz w:val="24"/>
          <w:szCs w:val="24"/>
        </w:rPr>
        <w:t>20.5 其他保险</w:t>
      </w:r>
      <w:bookmarkEnd w:id="490"/>
      <w:bookmarkEnd w:id="49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承包人应为其施工设备等办理保险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其投保金额应足以现场重置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办理本款保险的一切费用均由承包人承担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并包括在工程量清单的单价及总额价中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发包人不单独支付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92" w:name="_Toc25662"/>
      <w:bookmarkStart w:id="493" w:name="_Toc13344"/>
      <w:r>
        <w:rPr>
          <w:rFonts w:hint="eastAsia" w:ascii="宋体" w:hAnsi="宋体" w:eastAsia="宋体" w:cs="宋体"/>
          <w:spacing w:val="14"/>
          <w:sz w:val="24"/>
          <w:szCs w:val="24"/>
        </w:rPr>
        <w:t>20.6 对各项保险的一般要求</w:t>
      </w:r>
      <w:bookmarkEnd w:id="492"/>
      <w:bookmarkEnd w:id="49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20.6.1 保险凭证</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本项约定为：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承包人向发包人提交各项保险生效的证据和保险单副本的期限：开工后 56 天内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20.6.3 持续保险</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在整个合同期内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承包人应按合同条款规定保证足够的保险额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20.6.4 保险金不足的补偿</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保险金不足以补偿损失的（包括免赔额和超过赔偿限额的部分）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应由承包人和（或）发包人按合同约定负责补偿</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20.6.5 未按约定投保的补救</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本项（2）目细化为：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（2）由于负有投保义务的一方当事人未按合同约定办理某项保险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或未按保险单规定的条件和期限及时向保险人报告事故情况</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或未按要求的保险期限进行投保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或未按要求投保足够的保险金额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导致受益人未能或未能全部得到保险人的赔偿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原应从该项保险得到的保险金应由负有投保义务的一方当事人支付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494" w:name="_Toc28415"/>
      <w:bookmarkStart w:id="495" w:name="_Toc31893"/>
      <w:r>
        <w:rPr>
          <w:rFonts w:hint="eastAsia" w:ascii="宋体" w:hAnsi="宋体" w:eastAsia="宋体" w:cs="宋体"/>
          <w:spacing w:val="14"/>
          <w:sz w:val="24"/>
          <w:szCs w:val="24"/>
        </w:rPr>
        <w:t>21. 不可抗力</w:t>
      </w:r>
      <w:bookmarkEnd w:id="494"/>
      <w:bookmarkEnd w:id="49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96" w:name="_Toc1480"/>
      <w:bookmarkStart w:id="497" w:name="_Toc10518"/>
      <w:r>
        <w:rPr>
          <w:rFonts w:hint="eastAsia" w:ascii="宋体" w:hAnsi="宋体" w:eastAsia="宋体" w:cs="宋体"/>
          <w:spacing w:val="14"/>
          <w:sz w:val="24"/>
          <w:szCs w:val="24"/>
        </w:rPr>
        <w:t>21.1 不可抗力的确认</w:t>
      </w:r>
      <w:bookmarkEnd w:id="496"/>
      <w:bookmarkEnd w:id="49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21.1.1 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不可抗力是指承包人和发包人在订立合同时不可预见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在工程施工过程中不可避免发生并不能克服的自然灾害和社会性突发事件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包括但不限于：</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（1）地震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海啸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火山爆发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泥石流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暴雨（雪）</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台风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龙卷风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水灾等自然灾害</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（2）战争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骚乱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暴动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但纯属承包人或其分包人派遣与雇用的人员由于本合同工程施工原因引起者除外</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（3）核反应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辐射或放射性污染</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（4）空中飞行物体坠落或非发包人或承包人责任造成的爆炸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火灾</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（5）瘟疫</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（6）项目专用合同条款约定的其他情形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498" w:name="_Toc32240"/>
      <w:bookmarkStart w:id="499" w:name="_Toc15924"/>
      <w:r>
        <w:rPr>
          <w:rFonts w:hint="eastAsia" w:ascii="宋体" w:hAnsi="宋体" w:eastAsia="宋体" w:cs="宋体"/>
          <w:spacing w:val="14"/>
          <w:sz w:val="24"/>
          <w:szCs w:val="24"/>
        </w:rPr>
        <w:t>21.3 不可抗力后果及其处理</w:t>
      </w:r>
      <w:bookmarkEnd w:id="498"/>
      <w:bookmarkEnd w:id="49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21.3.4 因不可抗力解除合同</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合同一方当事人因不可抗力不能履行合同的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应当及时通知对方解除合同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合同解除后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承包人应按照第 22.2.5 项约定撤离施工场地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已经订货的材料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设备由订货方负责退货或解除订货合同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不能退还的货款和因退货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解除订货合同发生的费用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由发包人承担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因未及时退货造成的损失由责任方承担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合同解除后的付款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参照第 22.2.4 项约定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由监理人按第 3.5 款商定或确定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但由于解除合同应赔偿的承包人损失不予考虑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00" w:name="_Toc26596"/>
      <w:bookmarkStart w:id="501" w:name="_Toc32105"/>
      <w:r>
        <w:rPr>
          <w:rFonts w:hint="eastAsia" w:ascii="宋体" w:hAnsi="宋体" w:eastAsia="宋体" w:cs="宋体"/>
          <w:spacing w:val="14"/>
          <w:sz w:val="24"/>
          <w:szCs w:val="24"/>
        </w:rPr>
        <w:t>22. 违约</w:t>
      </w:r>
      <w:bookmarkEnd w:id="500"/>
      <w:bookmarkEnd w:id="50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02" w:name="_Toc23284"/>
      <w:bookmarkStart w:id="503" w:name="_Toc6354"/>
      <w:r>
        <w:rPr>
          <w:rFonts w:hint="eastAsia" w:ascii="宋体" w:hAnsi="宋体" w:eastAsia="宋体" w:cs="宋体"/>
          <w:spacing w:val="14"/>
          <w:sz w:val="24"/>
          <w:szCs w:val="24"/>
        </w:rPr>
        <w:t>22.1 承包人违约</w:t>
      </w:r>
      <w:bookmarkEnd w:id="502"/>
      <w:bookmarkEnd w:id="50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22.1.1 承包人违约的情形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本项（2）目细化为：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（2）承包人违反第 5.3 款或第 6.4 款的约定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未经监理人批准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私自将已按合同约定进入施工场地的施工设备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临时设施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材料或工程设备撤离施工场地</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本项（7）目细化为：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（7）承包人未能按期开工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（8）承包人违反第 4.6 款或第 6.3 款的规定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未按承诺或未按监理人的要求及时配备称职的主要管理人员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技术骨干或关键施工设备</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（9）经监理人和发包人检查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发现承包人有安全问题或有违反安全管理规章制度的情况</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（10）承包人不按合同约定履行义务的其他情况</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22.1.2 对承包人违约的处理</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（4）承包人发生第 22.1.1 项约定的违约情况时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无论发包人是否解除合同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发包人均有权向承包人课以项目专用合同条款中规定的违约金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并由发包人将其违约行为上报省级交通运输主管部门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作为不良记录纳入公路建设市场信用信息管理系统</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04" w:name="_Toc13938"/>
      <w:bookmarkStart w:id="505" w:name="_Toc32111"/>
      <w:r>
        <w:rPr>
          <w:rFonts w:hint="eastAsia" w:ascii="宋体" w:hAnsi="宋体" w:eastAsia="宋体" w:cs="宋体"/>
          <w:spacing w:val="14"/>
          <w:sz w:val="24"/>
          <w:szCs w:val="24"/>
        </w:rPr>
        <w:t>22.2 发包人违约</w:t>
      </w:r>
      <w:bookmarkEnd w:id="504"/>
      <w:bookmarkEnd w:id="50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22.2.1 发包人违约的情形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本项（5）目细化为：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（5）发包人无正当理由不按时返还履约保证金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质量保证金或农民工工资保证金的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（6）发包人不履行合同约定其他义务的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22.2.2 承包人有权暂停施工</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发包人发生除第 22.2.1（4）</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（5）目以外的违约情况时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承包人可向发包人发出通知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要求发包人采取有效措施纠正违约行为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发包人收到承包人通知后的 28 天内仍不履行合同义务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承包人有权暂停施工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发包人应承担由此增加的费用和（或）工期延误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并支付承包人合理利润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发包人发生第 22.2.1（5）目的违约情况时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承包人可向发包人发出通知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要求发包人采取有效措施纠正违约行为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发包人收到承包人通知后的 28 天内仍不返还履约保证金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质量保证金或农民工工资保证金的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发包人应按项目专用合同条款的约定向承包人支付逾期返还保证金的违约金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22.2.4 解除合同后的付款</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本项（2）目细化为：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（2）承包人为该工程施工订购并已付款的材料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工程设备和其他物品的金额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发包人付款后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该材料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工程设备和其他物品归发包人所有</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06" w:name="_Toc28571"/>
      <w:bookmarkStart w:id="507" w:name="_Toc9534"/>
      <w:r>
        <w:rPr>
          <w:rFonts w:hint="eastAsia" w:ascii="宋体" w:hAnsi="宋体" w:eastAsia="宋体" w:cs="宋体"/>
          <w:spacing w:val="14"/>
          <w:sz w:val="24"/>
          <w:szCs w:val="24"/>
        </w:rPr>
        <w:t>23. 索赔</w:t>
      </w:r>
      <w:bookmarkEnd w:id="506"/>
      <w:bookmarkEnd w:id="50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08" w:name="_Toc32334"/>
      <w:bookmarkStart w:id="509" w:name="_Toc25635"/>
      <w:r>
        <w:rPr>
          <w:rFonts w:hint="eastAsia" w:ascii="宋体" w:hAnsi="宋体" w:eastAsia="宋体" w:cs="宋体"/>
          <w:spacing w:val="14"/>
          <w:sz w:val="24"/>
          <w:szCs w:val="24"/>
        </w:rPr>
        <w:t>23.1 承包人索赔的提出</w:t>
      </w:r>
      <w:bookmarkEnd w:id="508"/>
      <w:bookmarkEnd w:id="50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本款第（4）项细化为：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（4）在索赔事件影响结束后的 28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承包人应向监理人递交最终索赔通知书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说明最终要求索赔的追加付款金额和（或）延长的工期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并附必要的记录和证明材料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10" w:name="_Toc19794"/>
      <w:bookmarkStart w:id="511" w:name="_Toc23982"/>
      <w:r>
        <w:rPr>
          <w:rFonts w:hint="eastAsia" w:ascii="宋体" w:hAnsi="宋体" w:eastAsia="宋体" w:cs="宋体"/>
          <w:spacing w:val="14"/>
          <w:sz w:val="24"/>
          <w:szCs w:val="24"/>
        </w:rPr>
        <w:t>23.2 承包人索赔处理程序</w:t>
      </w:r>
      <w:bookmarkEnd w:id="510"/>
      <w:bookmarkEnd w:id="51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本款第（2）项细化为：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（2）监理人应按第 3.5 款商定或确定追加的付款和（或）延长的工期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并在收到上述索赔通知书或有关索赔的进一步证明材料后的 42 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将索赔处理结果报发包人批准后答复承包人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如果承包人提出的索赔要求未能遵守第 23.1（2）~（4）项的规定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则承包人只限于索赔由监理人按当时记录予以核实的那部分款额和（或）工期延长天数</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12" w:name="_Toc1554"/>
      <w:bookmarkStart w:id="513" w:name="_Toc11935"/>
      <w:r>
        <w:rPr>
          <w:rFonts w:hint="eastAsia" w:ascii="宋体" w:hAnsi="宋体" w:eastAsia="宋体" w:cs="宋体"/>
          <w:spacing w:val="14"/>
          <w:sz w:val="24"/>
          <w:szCs w:val="24"/>
        </w:rPr>
        <w:t>24. 争议的解决</w:t>
      </w:r>
      <w:bookmarkEnd w:id="512"/>
      <w:bookmarkEnd w:id="51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14" w:name="_Toc18654"/>
      <w:bookmarkStart w:id="515" w:name="_Toc16009"/>
      <w:r>
        <w:rPr>
          <w:rFonts w:hint="eastAsia" w:ascii="宋体" w:hAnsi="宋体" w:eastAsia="宋体" w:cs="宋体"/>
          <w:spacing w:val="14"/>
          <w:sz w:val="24"/>
          <w:szCs w:val="24"/>
        </w:rPr>
        <w:t>24.3 争议评审</w:t>
      </w:r>
      <w:bookmarkEnd w:id="514"/>
      <w:bookmarkEnd w:id="51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第 24.3.1 项补充：</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争议评审组由 3 人或 5 人组成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专家的聘请方法可由发包人和承包人共同协商确定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亦可请政府主管部门推荐或通过合同争议调解机构聘请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并经双方认同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争议评审组成员应与合同双方均无利害关系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争议评审组的各项费用由发包人和承包人平均分担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本条补充第 24.4 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 24.5 款（适用于采用仲裁方式最终解决争议的项目）：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16" w:name="_Toc28206"/>
      <w:bookmarkStart w:id="517" w:name="_Toc1055"/>
      <w:r>
        <w:rPr>
          <w:rFonts w:hint="eastAsia" w:ascii="宋体" w:hAnsi="宋体" w:eastAsia="宋体" w:cs="宋体"/>
          <w:spacing w:val="14"/>
          <w:sz w:val="24"/>
          <w:szCs w:val="24"/>
        </w:rPr>
        <w:t>24.4 仲裁</w:t>
      </w:r>
      <w:bookmarkEnd w:id="516"/>
      <w:bookmarkEnd w:id="51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（1）对于未能友好解决或未能通过争议评审解决的争议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发包人或承包人任一方均有权提交给第 24.1 款约定的仲裁委员会仲裁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（2）仲裁可在交工之前或之后进行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但发包人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监理人和承包人各自的义务不得因在工程实施期间进行仲裁而有所改变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如果仲裁是在终止合同的情况下进行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则对合同工程应采取保护措施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措施费由败诉方承担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（3）仲裁裁决是终局性的并对发包人和承包人双方具有约束力</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（4）全部仲裁费用应由败诉方承担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或按仲裁委员会裁决的比例分担</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18" w:name="_Toc10005"/>
      <w:bookmarkStart w:id="519" w:name="_Toc19031"/>
      <w:r>
        <w:rPr>
          <w:rFonts w:hint="eastAsia" w:ascii="宋体" w:hAnsi="宋体" w:eastAsia="宋体" w:cs="宋体"/>
          <w:spacing w:val="14"/>
          <w:sz w:val="24"/>
          <w:szCs w:val="24"/>
        </w:rPr>
        <w:t>24.5 仲裁的执行</w:t>
      </w:r>
      <w:bookmarkEnd w:id="518"/>
      <w:bookmarkEnd w:id="51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（1）任何一方不履行仲裁机构的裁决的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对方可以向有管辖权的人民法院申请执行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z w:val="23"/>
          <w:szCs w:val="23"/>
          <w:lang w:eastAsia="zh-CN"/>
        </w:rPr>
      </w:pPr>
      <w:r>
        <w:rPr>
          <w:rFonts w:hint="eastAsia" w:ascii="宋体" w:hAnsi="宋体" w:eastAsia="宋体" w:cs="宋体"/>
          <w:spacing w:val="14"/>
          <w:sz w:val="24"/>
          <w:szCs w:val="24"/>
        </w:rPr>
        <w:t>（2）任何一方提出证据证明裁决有《中华人民共和国仲裁法》第五十八条规定情形之一的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可以向仲裁委员会所在地的中级人民法院申请撤销裁决</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人民法院认定执行该裁决违背社会公共利益的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裁定不予执行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仲裁裁决被人民法院裁定不予执行的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当事人可以根据双方达成的书面仲裁协议重新申请仲裁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也可以向人民法院起诉</w:t>
      </w:r>
      <w:r>
        <w:rPr>
          <w:rFonts w:hint="eastAsia" w:ascii="宋体" w:hAnsi="宋体" w:eastAsia="宋体" w:cs="宋体"/>
          <w:spacing w:val="14"/>
          <w:sz w:val="24"/>
          <w:szCs w:val="24"/>
          <w:lang w:eastAsia="zh-CN"/>
        </w:rPr>
        <w:t>。</w:t>
      </w:r>
    </w:p>
    <w:p>
      <w:pPr>
        <w:sectPr>
          <w:footerReference r:id="rId9" w:type="default"/>
          <w:pgSz w:w="11906" w:h="16839"/>
          <w:pgMar w:top="400" w:right="999" w:bottom="1156" w:left="1087" w:header="0" w:footer="996" w:gutter="0"/>
          <w:pgNumType w:fmt="decimal" w:start="1"/>
          <w:cols w:space="720" w:num="1"/>
        </w:sectPr>
      </w:pPr>
    </w:p>
    <w:p>
      <w:pPr>
        <w:pStyle w:val="2"/>
        <w:bidi w:val="0"/>
        <w:rPr>
          <w:rFonts w:hint="eastAsia" w:ascii="宋体" w:hAnsi="宋体" w:eastAsia="宋体" w:cs="宋体"/>
          <w:lang w:eastAsia="zh-CN"/>
        </w:rPr>
      </w:pPr>
      <w:bookmarkStart w:id="520" w:name="_Toc20995"/>
      <w:r>
        <w:rPr>
          <w:rFonts w:hint="eastAsia" w:ascii="宋体" w:hAnsi="宋体" w:eastAsia="宋体" w:cs="宋体"/>
          <w:lang w:val="en-US" w:eastAsia="zh-CN"/>
        </w:rPr>
        <w:t>三</w:t>
      </w:r>
      <w:r>
        <w:rPr>
          <w:rFonts w:hint="eastAsia" w:ascii="宋体" w:hAnsi="宋体" w:eastAsia="宋体" w:cs="宋体"/>
          <w:lang w:eastAsia="zh-CN"/>
        </w:rPr>
        <w:t>、合同工程量清单</w:t>
      </w:r>
      <w:bookmarkEnd w:id="520"/>
    </w:p>
    <w:p>
      <w:pPr>
        <w:rPr>
          <w:rFonts w:hint="eastAsia" w:ascii="宋体" w:hAnsi="宋体" w:eastAsia="宋体" w:cs="宋体"/>
          <w:sz w:val="24"/>
          <w:szCs w:val="24"/>
          <w:lang w:eastAsia="zh-CN"/>
        </w:rPr>
      </w:pPr>
      <w:r>
        <w:rPr>
          <w:rFonts w:hint="eastAsia" w:ascii="宋体" w:hAnsi="宋体" w:eastAsia="宋体" w:cs="宋体"/>
          <w:spacing w:val="14"/>
          <w:sz w:val="24"/>
          <w:szCs w:val="24"/>
          <w:lang w:eastAsia="zh-CN"/>
          <w14:textOutline w14:w="4358" w14:cap="sq" w14:cmpd="sng">
            <w14:solidFill>
              <w14:srgbClr w14:val="000000"/>
            </w14:solidFill>
            <w14:prstDash w14:val="solid"/>
            <w14:bevel/>
          </w14:textOutline>
        </w:rPr>
        <w:t>详见附件</w:t>
      </w:r>
      <w:r>
        <w:rPr>
          <w:rFonts w:hint="eastAsia" w:ascii="宋体" w:hAnsi="宋体" w:eastAsia="宋体" w:cs="宋体"/>
          <w:spacing w:val="14"/>
          <w:sz w:val="24"/>
          <w:szCs w:val="24"/>
          <w:lang w:val="en-US" w:eastAsia="zh-CN"/>
          <w14:textOutline w14:w="4358" w14:cap="sq" w14:cmpd="sng">
            <w14:solidFill>
              <w14:srgbClr w14:val="000000"/>
            </w14:solidFill>
            <w14:prstDash w14:val="solid"/>
            <w14:bevel/>
          </w14:textOutline>
        </w:rPr>
        <w:t>2</w:t>
      </w:r>
      <w:r>
        <w:rPr>
          <w:rFonts w:hint="eastAsia" w:ascii="宋体" w:hAnsi="宋体" w:eastAsia="宋体" w:cs="宋体"/>
          <w:sz w:val="24"/>
          <w:szCs w:val="24"/>
          <w:lang w:eastAsia="zh-CN"/>
        </w:rPr>
        <w:br w:type="page"/>
      </w:r>
    </w:p>
    <w:p>
      <w:pPr>
        <w:pStyle w:val="2"/>
        <w:bidi w:val="0"/>
        <w:rPr>
          <w:rFonts w:hint="eastAsia" w:ascii="宋体" w:hAnsi="宋体" w:eastAsia="宋体" w:cs="宋体"/>
        </w:rPr>
      </w:pPr>
      <w:bookmarkStart w:id="521" w:name="_Toc3643"/>
      <w:r>
        <w:rPr>
          <w:rFonts w:hint="eastAsia" w:ascii="宋体" w:hAnsi="宋体" w:eastAsia="宋体" w:cs="宋体"/>
          <w:lang w:val="en-US" w:eastAsia="zh-CN"/>
        </w:rPr>
        <w:t>四</w:t>
      </w:r>
      <w:r>
        <w:rPr>
          <w:rFonts w:hint="eastAsia" w:ascii="宋体" w:hAnsi="宋体" w:eastAsia="宋体" w:cs="宋体"/>
          <w:lang w:eastAsia="zh-CN"/>
        </w:rPr>
        <w:t>、监理合同</w:t>
      </w:r>
      <w:bookmarkEnd w:id="52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0"/>
        <w:rPr>
          <w:rFonts w:hint="eastAsia" w:ascii="宋体" w:hAnsi="宋体" w:eastAsia="宋体" w:cs="宋体"/>
          <w:spacing w:val="14"/>
          <w:sz w:val="24"/>
          <w:szCs w:val="24"/>
        </w:rPr>
      </w:pPr>
      <w:bookmarkStart w:id="522" w:name="_Toc24130"/>
      <w:bookmarkStart w:id="523" w:name="_Toc10442"/>
      <w:r>
        <w:rPr>
          <w:rFonts w:hint="eastAsia" w:ascii="宋体" w:hAnsi="宋体" w:eastAsia="宋体" w:cs="宋体"/>
          <w:b/>
          <w:bCs/>
          <w:spacing w:val="14"/>
          <w:sz w:val="24"/>
          <w:szCs w:val="24"/>
        </w:rPr>
        <w:t>第一部分 合同协议书</w:t>
      </w:r>
      <w:bookmarkEnd w:id="522"/>
      <w:bookmarkEnd w:id="52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委托人（全称）：</w:t>
      </w:r>
      <w:r>
        <w:rPr>
          <w:rFonts w:hint="eastAsia" w:ascii="宋体" w:hAnsi="宋体" w:eastAsia="宋体" w:cs="宋体"/>
          <w:spacing w:val="14"/>
          <w:sz w:val="24"/>
          <w:szCs w:val="24"/>
          <w:lang w:val="en-US" w:eastAsia="zh-CN"/>
        </w:rPr>
        <w:t>004</w:t>
      </w:r>
      <w:r>
        <w:rPr>
          <w:rFonts w:hint="eastAsia" w:ascii="宋体" w:hAnsi="宋体" w:eastAsia="宋体" w:cs="宋体"/>
          <w:spacing w:val="14"/>
          <w:sz w:val="24"/>
          <w:szCs w:val="24"/>
        </w:rPr>
        <w:t>宏大交通高速公路集团有限公司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监理人（全称）：</w:t>
      </w:r>
      <w:r>
        <w:rPr>
          <w:rFonts w:hint="eastAsia" w:ascii="宋体" w:hAnsi="宋体" w:eastAsia="宋体" w:cs="宋体"/>
          <w:spacing w:val="14"/>
          <w:sz w:val="24"/>
          <w:szCs w:val="24"/>
          <w:lang w:val="en-US" w:eastAsia="zh-CN"/>
        </w:rPr>
        <w:t>004</w:t>
      </w:r>
      <w:r>
        <w:rPr>
          <w:rFonts w:hint="eastAsia" w:ascii="宋体" w:hAnsi="宋体" w:eastAsia="宋体" w:cs="宋体"/>
          <w:spacing w:val="14"/>
          <w:sz w:val="24"/>
          <w:szCs w:val="24"/>
          <w:lang w:eastAsia="zh-CN"/>
        </w:rPr>
        <w:t>交理咨通工程监询有限公司</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根据《中华人民共和国民法典》及其他有关法律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法规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遵循平等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公平和诚信的原则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双方就下述工程委托监理与相关服务事项协商一致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订立本合同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24" w:name="_Toc20648"/>
      <w:bookmarkStart w:id="525" w:name="_Toc2422"/>
      <w:r>
        <w:rPr>
          <w:rFonts w:hint="eastAsia" w:ascii="宋体" w:hAnsi="宋体" w:eastAsia="宋体" w:cs="宋体"/>
          <w:spacing w:val="14"/>
          <w:sz w:val="24"/>
          <w:szCs w:val="24"/>
        </w:rPr>
        <w:t>一</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工程概况</w:t>
      </w:r>
      <w:bookmarkEnd w:id="524"/>
      <w:bookmarkEnd w:id="52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 xml:space="preserve">1 </w:t>
      </w:r>
      <w:r>
        <w:rPr>
          <w:rFonts w:hint="eastAsia" w:ascii="宋体" w:hAnsi="宋体" w:eastAsia="宋体" w:cs="宋体"/>
          <w:spacing w:val="14"/>
          <w:sz w:val="24"/>
          <w:szCs w:val="24"/>
          <w:lang w:val="en-US" w:eastAsia="zh-CN"/>
        </w:rPr>
        <w:t>合同</w:t>
      </w:r>
      <w:r>
        <w:rPr>
          <w:rFonts w:hint="eastAsia" w:ascii="宋体" w:hAnsi="宋体" w:eastAsia="宋体" w:cs="宋体"/>
          <w:spacing w:val="14"/>
          <w:sz w:val="24"/>
          <w:szCs w:val="24"/>
        </w:rPr>
        <w:t>名称：</w:t>
      </w:r>
      <w:r>
        <w:rPr>
          <w:rFonts w:hint="eastAsia" w:ascii="宋体" w:hAnsi="宋体" w:eastAsia="宋体" w:cs="宋体"/>
          <w:spacing w:val="14"/>
          <w:sz w:val="24"/>
          <w:szCs w:val="24"/>
          <w:lang w:val="en-US" w:eastAsia="zh-CN"/>
        </w:rPr>
        <w:t>004</w:t>
      </w:r>
      <w:r>
        <w:rPr>
          <w:rFonts w:hint="eastAsia" w:ascii="宋体" w:hAnsi="宋体" w:eastAsia="宋体" w:cs="宋体"/>
          <w:spacing w:val="14"/>
          <w:sz w:val="24"/>
          <w:szCs w:val="24"/>
        </w:rPr>
        <w:t>天心高速公路工程项目施工九标段</w:t>
      </w:r>
      <w:r>
        <w:rPr>
          <w:rFonts w:hint="eastAsia" w:ascii="宋体" w:hAnsi="宋体" w:eastAsia="宋体" w:cs="宋体"/>
          <w:spacing w:val="14"/>
          <w:sz w:val="24"/>
          <w:szCs w:val="24"/>
          <w:lang w:val="en-US" w:eastAsia="zh-CN"/>
        </w:rPr>
        <w:t>监理合同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rPr>
        <w:t xml:space="preserve">2 </w:t>
      </w:r>
      <w:r>
        <w:rPr>
          <w:rFonts w:hint="eastAsia" w:ascii="宋体" w:hAnsi="宋体" w:eastAsia="宋体" w:cs="宋体"/>
          <w:spacing w:val="14"/>
          <w:sz w:val="24"/>
          <w:szCs w:val="24"/>
          <w:lang w:val="en-US" w:eastAsia="zh-CN"/>
        </w:rPr>
        <w:t>合同编号：004</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val="en-US" w:eastAsia="zh-CN"/>
        </w:rPr>
        <w:t xml:space="preserve">3 </w:t>
      </w:r>
      <w:r>
        <w:rPr>
          <w:rFonts w:hint="eastAsia" w:ascii="宋体" w:hAnsi="宋体" w:eastAsia="宋体" w:cs="宋体"/>
          <w:spacing w:val="14"/>
          <w:sz w:val="24"/>
          <w:szCs w:val="24"/>
        </w:rPr>
        <w:t>工程地点：</w:t>
      </w:r>
      <w:r>
        <w:rPr>
          <w:rFonts w:hint="eastAsia" w:ascii="宋体" w:hAnsi="宋体" w:eastAsia="宋体" w:cs="宋体"/>
          <w:spacing w:val="14"/>
          <w:sz w:val="24"/>
          <w:szCs w:val="24"/>
          <w:lang w:eastAsia="zh-CN"/>
        </w:rPr>
        <w:t>辽宁省丹东市。</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lang w:val="en-US" w:eastAsia="zh-CN"/>
        </w:rPr>
        <w:t>4</w:t>
      </w:r>
      <w:r>
        <w:rPr>
          <w:rFonts w:hint="eastAsia" w:ascii="宋体" w:hAnsi="宋体" w:eastAsia="宋体" w:cs="宋体"/>
          <w:spacing w:val="14"/>
          <w:sz w:val="24"/>
          <w:szCs w:val="24"/>
        </w:rPr>
        <w:t xml:space="preserve"> 工程规模：本标段 K00+000-K44+650，合同工期：23个月，长度：34.65km，全段四车道，路基填方数量 415 万方，大桥1座，中桥3座，涵洞8道、公公分离式1座、通道桥6座、隧道1处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lang w:eastAsia="zh-CN"/>
        </w:rPr>
      </w:pPr>
      <w:bookmarkStart w:id="526" w:name="_Toc2742"/>
      <w:bookmarkStart w:id="527" w:name="_Toc736"/>
      <w:r>
        <w:rPr>
          <w:rFonts w:hint="eastAsia" w:ascii="宋体" w:hAnsi="宋体" w:eastAsia="宋体" w:cs="宋体"/>
          <w:spacing w:val="14"/>
          <w:sz w:val="24"/>
          <w:szCs w:val="24"/>
          <w:lang w:val="en-US" w:eastAsia="zh-CN"/>
        </w:rPr>
        <w:t>5</w:t>
      </w:r>
      <w:r>
        <w:rPr>
          <w:rFonts w:hint="eastAsia" w:ascii="宋体" w:hAnsi="宋体" w:eastAsia="宋体" w:cs="宋体"/>
          <w:spacing w:val="14"/>
          <w:sz w:val="24"/>
          <w:szCs w:val="24"/>
        </w:rPr>
        <w:t xml:space="preserve"> 工程概算投资额或建筑安装工程费：</w:t>
      </w:r>
      <w:r>
        <w:rPr>
          <w:rFonts w:hint="eastAsia" w:ascii="宋体" w:hAnsi="宋体" w:eastAsia="宋体" w:cs="宋体"/>
          <w:spacing w:val="14"/>
          <w:sz w:val="24"/>
          <w:szCs w:val="24"/>
          <w:lang w:val="en-US" w:eastAsia="zh-CN"/>
        </w:rPr>
        <w:t>259790</w:t>
      </w:r>
      <w:r>
        <w:rPr>
          <w:rFonts w:hint="eastAsia" w:ascii="宋体" w:hAnsi="宋体" w:eastAsia="宋体" w:cs="宋体"/>
          <w:spacing w:val="14"/>
          <w:sz w:val="24"/>
          <w:szCs w:val="24"/>
        </w:rPr>
        <w:t>万元</w:t>
      </w:r>
      <w:r>
        <w:rPr>
          <w:rFonts w:hint="eastAsia" w:ascii="宋体" w:hAnsi="宋体" w:eastAsia="宋体" w:cs="宋体"/>
          <w:spacing w:val="14"/>
          <w:sz w:val="24"/>
          <w:szCs w:val="24"/>
          <w:lang w:eastAsia="zh-CN"/>
        </w:rPr>
        <w:t>。</w:t>
      </w:r>
      <w:bookmarkEnd w:id="526"/>
      <w:bookmarkEnd w:id="52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28" w:name="_Toc32109"/>
      <w:bookmarkStart w:id="529" w:name="_Toc5522"/>
      <w:r>
        <w:rPr>
          <w:rFonts w:hint="eastAsia" w:ascii="宋体" w:hAnsi="宋体" w:eastAsia="宋体" w:cs="宋体"/>
          <w:spacing w:val="14"/>
          <w:sz w:val="24"/>
          <w:szCs w:val="24"/>
        </w:rPr>
        <w:t>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词语限定</w:t>
      </w:r>
      <w:bookmarkEnd w:id="528"/>
      <w:bookmarkEnd w:id="52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协议书中相关词语的含义与通用条件中的定义与解释相同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30" w:name="_Toc28186"/>
      <w:bookmarkStart w:id="531" w:name="_Toc17306"/>
      <w:r>
        <w:rPr>
          <w:rFonts w:hint="eastAsia" w:ascii="宋体" w:hAnsi="宋体" w:eastAsia="宋体" w:cs="宋体"/>
          <w:spacing w:val="14"/>
          <w:sz w:val="24"/>
          <w:szCs w:val="24"/>
        </w:rPr>
        <w:t>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组成本合同的文件</w:t>
      </w:r>
      <w:bookmarkEnd w:id="530"/>
      <w:bookmarkEnd w:id="53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lang w:eastAsia="zh-CN"/>
        </w:rPr>
      </w:pPr>
      <w:bookmarkStart w:id="532" w:name="_Toc32583"/>
      <w:bookmarkStart w:id="533" w:name="_Toc7773"/>
      <w:r>
        <w:rPr>
          <w:rFonts w:hint="eastAsia" w:ascii="宋体" w:hAnsi="宋体" w:eastAsia="宋体" w:cs="宋体"/>
          <w:spacing w:val="14"/>
          <w:sz w:val="24"/>
          <w:szCs w:val="24"/>
        </w:rPr>
        <w:t>1. 协议书</w:t>
      </w:r>
      <w:r>
        <w:rPr>
          <w:rFonts w:hint="eastAsia" w:ascii="宋体" w:hAnsi="宋体" w:eastAsia="宋体" w:cs="宋体"/>
          <w:spacing w:val="14"/>
          <w:sz w:val="24"/>
          <w:szCs w:val="24"/>
          <w:lang w:eastAsia="zh-CN"/>
        </w:rPr>
        <w:t>；</w:t>
      </w:r>
      <w:bookmarkEnd w:id="532"/>
      <w:bookmarkEnd w:id="53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 中标通知书（适用于招标工程）或委托书（适用于非招标工程）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 投标文件（适用于招标工程）或监理与相关服务建议书（适用于非招标工程）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 专用条件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 通用条件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 附录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即：</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34" w:name="_Toc21902"/>
      <w:bookmarkStart w:id="535" w:name="_Toc11634"/>
      <w:r>
        <w:rPr>
          <w:rFonts w:hint="eastAsia" w:ascii="宋体" w:hAnsi="宋体" w:eastAsia="宋体" w:cs="宋体"/>
          <w:spacing w:val="14"/>
          <w:sz w:val="24"/>
          <w:szCs w:val="24"/>
        </w:rPr>
        <w:t>附录A  相关服务的范围和内容</w:t>
      </w:r>
      <w:bookmarkEnd w:id="534"/>
      <w:bookmarkEnd w:id="53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附录B  委托人派遣的人员和提供的房屋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本合同签订后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双方依法签订的补充协议也是本合同文件的组成部分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36" w:name="_Toc30790"/>
      <w:bookmarkStart w:id="537" w:name="_Toc23296"/>
      <w:r>
        <w:rPr>
          <w:rFonts w:hint="eastAsia" w:ascii="宋体" w:hAnsi="宋体" w:eastAsia="宋体" w:cs="宋体"/>
          <w:spacing w:val="14"/>
          <w:sz w:val="24"/>
          <w:szCs w:val="24"/>
        </w:rPr>
        <w:t>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总监理工程师</w:t>
      </w:r>
      <w:bookmarkEnd w:id="536"/>
      <w:bookmarkEnd w:id="53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 xml:space="preserve">总监理工程师姓名：           </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身份证号码：            </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注册号：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38" w:name="_Toc198"/>
      <w:bookmarkStart w:id="539" w:name="_Toc27912"/>
      <w:r>
        <w:rPr>
          <w:rFonts w:hint="eastAsia" w:ascii="宋体" w:hAnsi="宋体" w:eastAsia="宋体" w:cs="宋体"/>
          <w:spacing w:val="14"/>
          <w:sz w:val="24"/>
          <w:szCs w:val="24"/>
        </w:rPr>
        <w:t>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签约酬金</w:t>
      </w:r>
      <w:bookmarkEnd w:id="538"/>
      <w:bookmarkEnd w:id="53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签约酬金（大写）：</w:t>
      </w:r>
      <w:r>
        <w:rPr>
          <w:rFonts w:hint="eastAsia" w:ascii="宋体" w:hAnsi="宋体" w:eastAsia="宋体" w:cs="宋体"/>
          <w:spacing w:val="14"/>
          <w:sz w:val="24"/>
          <w:szCs w:val="24"/>
          <w:lang w:eastAsia="zh-CN"/>
        </w:rPr>
        <w:t>伍</w:t>
      </w:r>
      <w:r>
        <w:rPr>
          <w:rFonts w:hint="eastAsia" w:ascii="宋体" w:hAnsi="宋体" w:eastAsia="宋体" w:cs="宋体"/>
          <w:spacing w:val="14"/>
          <w:sz w:val="24"/>
          <w:szCs w:val="24"/>
        </w:rPr>
        <w:t>佰万元（¥</w:t>
      </w:r>
      <w:r>
        <w:rPr>
          <w:rFonts w:hint="eastAsia" w:ascii="宋体" w:hAnsi="宋体" w:eastAsia="宋体" w:cs="宋体"/>
          <w:spacing w:val="14"/>
          <w:sz w:val="24"/>
          <w:szCs w:val="24"/>
          <w:lang w:val="en-US" w:eastAsia="zh-CN"/>
        </w:rPr>
        <w:t>50</w:t>
      </w:r>
      <w:r>
        <w:rPr>
          <w:rFonts w:hint="eastAsia" w:ascii="宋体" w:hAnsi="宋体" w:eastAsia="宋体" w:cs="宋体"/>
          <w:spacing w:val="14"/>
          <w:sz w:val="24"/>
          <w:szCs w:val="24"/>
        </w:rPr>
        <w:t>00000）</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包括：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 监理酬金：</w:t>
      </w:r>
      <w:r>
        <w:rPr>
          <w:rFonts w:hint="eastAsia" w:ascii="宋体" w:hAnsi="宋体" w:eastAsia="宋体" w:cs="宋体"/>
          <w:spacing w:val="14"/>
          <w:sz w:val="24"/>
          <w:szCs w:val="24"/>
          <w:lang w:val="en-US" w:eastAsia="zh-CN"/>
        </w:rPr>
        <w:t>40</w:t>
      </w:r>
      <w:r>
        <w:rPr>
          <w:rFonts w:hint="eastAsia" w:ascii="宋体" w:hAnsi="宋体" w:eastAsia="宋体" w:cs="宋体"/>
          <w:spacing w:val="14"/>
          <w:sz w:val="24"/>
          <w:szCs w:val="24"/>
        </w:rPr>
        <w:t>00000</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 相关服务酬金：</w:t>
      </w:r>
      <w:r>
        <w:rPr>
          <w:rFonts w:hint="eastAsia" w:ascii="宋体" w:hAnsi="宋体" w:eastAsia="宋体" w:cs="宋体"/>
          <w:spacing w:val="14"/>
          <w:sz w:val="24"/>
          <w:szCs w:val="24"/>
          <w:lang w:val="en-US" w:eastAsia="zh-CN"/>
        </w:rPr>
        <w:t>1</w:t>
      </w:r>
      <w:r>
        <w:rPr>
          <w:rFonts w:hint="eastAsia" w:ascii="宋体" w:hAnsi="宋体" w:eastAsia="宋体" w:cs="宋体"/>
          <w:spacing w:val="14"/>
          <w:sz w:val="24"/>
          <w:szCs w:val="24"/>
        </w:rPr>
        <w:t>0000</w:t>
      </w:r>
      <w:r>
        <w:rPr>
          <w:rFonts w:hint="eastAsia" w:ascii="宋体" w:hAnsi="宋体" w:eastAsia="宋体" w:cs="宋体"/>
          <w:spacing w:val="14"/>
          <w:sz w:val="24"/>
          <w:szCs w:val="24"/>
          <w:lang w:val="en-US" w:eastAsia="zh-CN"/>
        </w:rPr>
        <w:t>0</w:t>
      </w:r>
      <w:r>
        <w:rPr>
          <w:rFonts w:hint="eastAsia" w:ascii="宋体" w:hAnsi="宋体" w:eastAsia="宋体" w:cs="宋体"/>
          <w:spacing w:val="14"/>
          <w:sz w:val="24"/>
          <w:szCs w:val="24"/>
        </w:rPr>
        <w:t>0</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其中：</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（1）勘察阶段服务酬金：无</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（2）设计阶段服务酬金：无</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（3）保修阶段服务酬金：</w:t>
      </w:r>
      <w:r>
        <w:rPr>
          <w:rFonts w:hint="eastAsia" w:ascii="宋体" w:hAnsi="宋体" w:eastAsia="宋体" w:cs="宋体"/>
          <w:spacing w:val="14"/>
          <w:sz w:val="24"/>
          <w:szCs w:val="24"/>
          <w:lang w:val="en-US" w:eastAsia="zh-CN"/>
        </w:rPr>
        <w:t>1</w:t>
      </w:r>
      <w:r>
        <w:rPr>
          <w:rFonts w:hint="eastAsia" w:ascii="宋体" w:hAnsi="宋体" w:eastAsia="宋体" w:cs="宋体"/>
          <w:spacing w:val="14"/>
          <w:sz w:val="24"/>
          <w:szCs w:val="24"/>
        </w:rPr>
        <w:t>0000</w:t>
      </w:r>
      <w:r>
        <w:rPr>
          <w:rFonts w:hint="eastAsia" w:ascii="宋体" w:hAnsi="宋体" w:eastAsia="宋体" w:cs="宋体"/>
          <w:spacing w:val="14"/>
          <w:sz w:val="24"/>
          <w:szCs w:val="24"/>
          <w:lang w:val="en-US" w:eastAsia="zh-CN"/>
        </w:rPr>
        <w:t>0</w:t>
      </w:r>
      <w:r>
        <w:rPr>
          <w:rFonts w:hint="eastAsia" w:ascii="宋体" w:hAnsi="宋体" w:eastAsia="宋体" w:cs="宋体"/>
          <w:spacing w:val="14"/>
          <w:sz w:val="24"/>
          <w:szCs w:val="24"/>
        </w:rPr>
        <w:t>0元</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（4）其他相关服务酬金：无</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40" w:name="_Toc16468"/>
      <w:bookmarkStart w:id="541" w:name="_Toc5815"/>
      <w:r>
        <w:rPr>
          <w:rFonts w:hint="eastAsia" w:ascii="宋体" w:hAnsi="宋体" w:eastAsia="宋体" w:cs="宋体"/>
          <w:spacing w:val="14"/>
          <w:sz w:val="24"/>
          <w:szCs w:val="24"/>
        </w:rPr>
        <w:t>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期限</w:t>
      </w:r>
      <w:bookmarkEnd w:id="540"/>
      <w:bookmarkEnd w:id="54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42" w:name="_Toc13693"/>
      <w:bookmarkStart w:id="543" w:name="_Toc10937"/>
      <w:r>
        <w:rPr>
          <w:rFonts w:hint="eastAsia" w:ascii="宋体" w:hAnsi="宋体" w:eastAsia="宋体" w:cs="宋体"/>
          <w:spacing w:val="14"/>
          <w:sz w:val="24"/>
          <w:szCs w:val="24"/>
        </w:rPr>
        <w:t>1. 监理期限：</w:t>
      </w:r>
      <w:bookmarkEnd w:id="542"/>
      <w:bookmarkEnd w:id="54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自201</w:t>
      </w:r>
      <w:r>
        <w:rPr>
          <w:rFonts w:hint="eastAsia" w:ascii="宋体" w:hAnsi="宋体" w:eastAsia="宋体" w:cs="宋体"/>
          <w:spacing w:val="14"/>
          <w:sz w:val="24"/>
          <w:szCs w:val="24"/>
          <w:lang w:val="en-US" w:eastAsia="zh-CN"/>
        </w:rPr>
        <w:t>9</w:t>
      </w:r>
      <w:r>
        <w:rPr>
          <w:rFonts w:hint="eastAsia" w:ascii="宋体" w:hAnsi="宋体" w:eastAsia="宋体" w:cs="宋体"/>
          <w:spacing w:val="14"/>
          <w:sz w:val="24"/>
          <w:szCs w:val="24"/>
        </w:rPr>
        <w:t>年1月1日始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至2021年</w:t>
      </w:r>
      <w:r>
        <w:rPr>
          <w:rFonts w:hint="eastAsia" w:ascii="宋体" w:hAnsi="宋体" w:eastAsia="宋体" w:cs="宋体"/>
          <w:spacing w:val="14"/>
          <w:sz w:val="24"/>
          <w:szCs w:val="24"/>
          <w:lang w:val="en-US" w:eastAsia="zh-CN"/>
        </w:rPr>
        <w:t>1</w:t>
      </w:r>
      <w:r>
        <w:rPr>
          <w:rFonts w:hint="eastAsia" w:ascii="宋体" w:hAnsi="宋体" w:eastAsia="宋体" w:cs="宋体"/>
          <w:spacing w:val="14"/>
          <w:sz w:val="24"/>
          <w:szCs w:val="24"/>
        </w:rPr>
        <w:t>月</w:t>
      </w:r>
      <w:r>
        <w:rPr>
          <w:rFonts w:hint="eastAsia" w:ascii="宋体" w:hAnsi="宋体" w:eastAsia="宋体" w:cs="宋体"/>
          <w:spacing w:val="14"/>
          <w:sz w:val="24"/>
          <w:szCs w:val="24"/>
          <w:lang w:val="en-US" w:eastAsia="zh-CN"/>
        </w:rPr>
        <w:t>1</w:t>
      </w:r>
      <w:r>
        <w:rPr>
          <w:rFonts w:hint="eastAsia" w:ascii="宋体" w:hAnsi="宋体" w:eastAsia="宋体" w:cs="宋体"/>
          <w:spacing w:val="14"/>
          <w:sz w:val="24"/>
          <w:szCs w:val="24"/>
        </w:rPr>
        <w:t>日止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44" w:name="_Toc179"/>
      <w:bookmarkStart w:id="545" w:name="_Toc10040"/>
      <w:r>
        <w:rPr>
          <w:rFonts w:hint="eastAsia" w:ascii="宋体" w:hAnsi="宋体" w:eastAsia="宋体" w:cs="宋体"/>
          <w:spacing w:val="14"/>
          <w:sz w:val="24"/>
          <w:szCs w:val="24"/>
        </w:rPr>
        <w:t>2. 相关服务期限：</w:t>
      </w:r>
      <w:bookmarkEnd w:id="544"/>
      <w:bookmarkEnd w:id="54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（1）保修阶段服务期限自2021年</w:t>
      </w:r>
      <w:r>
        <w:rPr>
          <w:rFonts w:hint="eastAsia" w:ascii="宋体" w:hAnsi="宋体" w:eastAsia="宋体" w:cs="宋体"/>
          <w:spacing w:val="14"/>
          <w:sz w:val="24"/>
          <w:szCs w:val="24"/>
          <w:lang w:val="en-US" w:eastAsia="zh-CN"/>
        </w:rPr>
        <w:t>1</w:t>
      </w:r>
      <w:r>
        <w:rPr>
          <w:rFonts w:hint="eastAsia" w:ascii="宋体" w:hAnsi="宋体" w:eastAsia="宋体" w:cs="宋体"/>
          <w:spacing w:val="14"/>
          <w:sz w:val="24"/>
          <w:szCs w:val="24"/>
        </w:rPr>
        <w:t>月</w:t>
      </w:r>
      <w:r>
        <w:rPr>
          <w:rFonts w:hint="eastAsia" w:ascii="宋体" w:hAnsi="宋体" w:eastAsia="宋体" w:cs="宋体"/>
          <w:spacing w:val="14"/>
          <w:sz w:val="24"/>
          <w:szCs w:val="24"/>
          <w:lang w:val="en-US" w:eastAsia="zh-CN"/>
        </w:rPr>
        <w:t>1</w:t>
      </w:r>
      <w:r>
        <w:rPr>
          <w:rFonts w:hint="eastAsia" w:ascii="宋体" w:hAnsi="宋体" w:eastAsia="宋体" w:cs="宋体"/>
          <w:spacing w:val="14"/>
          <w:sz w:val="24"/>
          <w:szCs w:val="24"/>
        </w:rPr>
        <w:t>日始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至202</w:t>
      </w:r>
      <w:r>
        <w:rPr>
          <w:rFonts w:hint="eastAsia" w:ascii="宋体" w:hAnsi="宋体" w:eastAsia="宋体" w:cs="宋体"/>
          <w:spacing w:val="14"/>
          <w:sz w:val="24"/>
          <w:szCs w:val="24"/>
          <w:lang w:val="en-US" w:eastAsia="zh-CN"/>
        </w:rPr>
        <w:t>3</w:t>
      </w:r>
      <w:r>
        <w:rPr>
          <w:rFonts w:hint="eastAsia" w:ascii="宋体" w:hAnsi="宋体" w:eastAsia="宋体" w:cs="宋体"/>
          <w:spacing w:val="14"/>
          <w:sz w:val="24"/>
          <w:szCs w:val="24"/>
        </w:rPr>
        <w:t>年</w:t>
      </w:r>
      <w:r>
        <w:rPr>
          <w:rFonts w:hint="eastAsia" w:ascii="宋体" w:hAnsi="宋体" w:eastAsia="宋体" w:cs="宋体"/>
          <w:spacing w:val="14"/>
          <w:sz w:val="24"/>
          <w:szCs w:val="24"/>
          <w:lang w:val="en-US" w:eastAsia="zh-CN"/>
        </w:rPr>
        <w:t>1</w:t>
      </w:r>
      <w:r>
        <w:rPr>
          <w:rFonts w:hint="eastAsia" w:ascii="宋体" w:hAnsi="宋体" w:eastAsia="宋体" w:cs="宋体"/>
          <w:spacing w:val="14"/>
          <w:sz w:val="24"/>
          <w:szCs w:val="24"/>
        </w:rPr>
        <w:t>月</w:t>
      </w:r>
      <w:r>
        <w:rPr>
          <w:rFonts w:hint="eastAsia" w:ascii="宋体" w:hAnsi="宋体" w:eastAsia="宋体" w:cs="宋体"/>
          <w:spacing w:val="14"/>
          <w:sz w:val="24"/>
          <w:szCs w:val="24"/>
          <w:lang w:val="en-US" w:eastAsia="zh-CN"/>
        </w:rPr>
        <w:t>1</w:t>
      </w:r>
      <w:r>
        <w:rPr>
          <w:rFonts w:hint="eastAsia" w:ascii="宋体" w:hAnsi="宋体" w:eastAsia="宋体" w:cs="宋体"/>
          <w:spacing w:val="14"/>
          <w:sz w:val="24"/>
          <w:szCs w:val="24"/>
        </w:rPr>
        <w:t>日止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46" w:name="_Toc14641"/>
      <w:bookmarkStart w:id="547" w:name="_Toc22614"/>
      <w:r>
        <w:rPr>
          <w:rFonts w:hint="eastAsia" w:ascii="宋体" w:hAnsi="宋体" w:eastAsia="宋体" w:cs="宋体"/>
          <w:spacing w:val="14"/>
          <w:sz w:val="24"/>
          <w:szCs w:val="24"/>
        </w:rPr>
        <w:t>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双方承诺</w:t>
      </w:r>
      <w:bookmarkEnd w:id="546"/>
      <w:bookmarkEnd w:id="54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lang w:eastAsia="zh-CN"/>
        </w:rPr>
      </w:pPr>
      <w:bookmarkStart w:id="548" w:name="_Toc20259"/>
      <w:bookmarkStart w:id="549" w:name="_Toc1086"/>
      <w:r>
        <w:rPr>
          <w:rFonts w:hint="eastAsia" w:ascii="宋体" w:hAnsi="宋体" w:eastAsia="宋体" w:cs="宋体"/>
          <w:spacing w:val="14"/>
          <w:sz w:val="24"/>
          <w:szCs w:val="24"/>
        </w:rPr>
        <w:t>1. 监理人向委托人承诺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按照本合同约定提供监理与相关服务</w:t>
      </w:r>
      <w:r>
        <w:rPr>
          <w:rFonts w:hint="eastAsia" w:ascii="宋体" w:hAnsi="宋体" w:eastAsia="宋体" w:cs="宋体"/>
          <w:spacing w:val="14"/>
          <w:sz w:val="24"/>
          <w:szCs w:val="24"/>
          <w:lang w:eastAsia="zh-CN"/>
        </w:rPr>
        <w:t>。</w:t>
      </w:r>
      <w:bookmarkEnd w:id="548"/>
      <w:bookmarkEnd w:id="54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 委托人向监理人承诺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按照本合同约定派遣相应的人员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提供房屋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并按本合同约定支付酬金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50" w:name="_Toc17145"/>
      <w:bookmarkStart w:id="551" w:name="_Toc3114"/>
      <w:r>
        <w:rPr>
          <w:rFonts w:hint="eastAsia" w:ascii="宋体" w:hAnsi="宋体" w:eastAsia="宋体" w:cs="宋体"/>
          <w:spacing w:val="14"/>
          <w:sz w:val="24"/>
          <w:szCs w:val="24"/>
        </w:rPr>
        <w:t>八</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合同订立</w:t>
      </w:r>
      <w:bookmarkEnd w:id="550"/>
      <w:bookmarkEnd w:id="55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 订立时间：          年       月      日</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 xml:space="preserve">2. 订立地点：                                 </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 本合同一式    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具有同等法律效力</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双方各执    份</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委托人：   （盖章）             监理人：   （盖章）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住所：                          住所：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邮政编码：                      邮政编码：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法定代表人或其授权              法定代表人或其授权</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的代理人：（签字）               的代理人：（签字）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开户银行：                      开户银行：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账号：                           账号：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电话：                           电话：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传真：                           传真：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 xml:space="preserve">电子邮箱：                      电子邮箱：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0"/>
        <w:rPr>
          <w:rFonts w:hint="eastAsia" w:ascii="宋体" w:hAnsi="宋体" w:eastAsia="宋体" w:cs="宋体"/>
          <w:spacing w:val="14"/>
          <w:sz w:val="24"/>
          <w:szCs w:val="24"/>
        </w:rPr>
      </w:pPr>
      <w:bookmarkStart w:id="552" w:name="_Toc13607"/>
      <w:bookmarkStart w:id="553" w:name="_Toc10919"/>
      <w:r>
        <w:rPr>
          <w:rFonts w:hint="eastAsia" w:ascii="宋体" w:hAnsi="宋体" w:eastAsia="宋体" w:cs="宋体"/>
          <w:b/>
          <w:bCs/>
          <w:spacing w:val="14"/>
          <w:sz w:val="24"/>
          <w:szCs w:val="24"/>
        </w:rPr>
        <w:t>第二部分  通用条件</w:t>
      </w:r>
      <w:bookmarkEnd w:id="552"/>
      <w:bookmarkEnd w:id="55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54" w:name="_Toc3295"/>
      <w:bookmarkStart w:id="555" w:name="_Toc15746"/>
      <w:r>
        <w:rPr>
          <w:rFonts w:hint="eastAsia" w:ascii="宋体" w:hAnsi="宋体" w:eastAsia="宋体" w:cs="宋体"/>
          <w:spacing w:val="14"/>
          <w:sz w:val="24"/>
          <w:szCs w:val="24"/>
        </w:rPr>
        <w:t>1. 定义与解释</w:t>
      </w:r>
      <w:bookmarkEnd w:id="554"/>
      <w:bookmarkEnd w:id="55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56" w:name="_Toc11502"/>
      <w:bookmarkStart w:id="557" w:name="_Toc3804"/>
      <w:r>
        <w:rPr>
          <w:rFonts w:hint="eastAsia" w:ascii="宋体" w:hAnsi="宋体" w:eastAsia="宋体" w:cs="宋体"/>
          <w:spacing w:val="14"/>
          <w:sz w:val="24"/>
          <w:szCs w:val="24"/>
        </w:rPr>
        <w:t>1.1 定义</w:t>
      </w:r>
      <w:bookmarkEnd w:id="556"/>
      <w:bookmarkEnd w:id="55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除根据上下文另有其意义外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组成本合同的全部文件中的下列名词和用语应具有本款所赋予的含义：</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 “工程”是指按照本合同约定实施监理与相关服务的建设工程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1.1.2 “委托人”是指本合同中委托监理与相关服务的一方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及其合法的继承人或受让人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1.1.3 “监理人”是指本合同中提供监理与相关服务的一方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及其合法的继承人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1.1.4 “承包人”是指在工程范围内与委托人签订勘察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施工等有关合同的当事人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及其合法的继承人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 xml:space="preserve">1.1.5 “监理”是指监理人受委托人的委托 </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依照法律法规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工程建设标准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勘察设计文件及合同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在施工阶段对建设工程质量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进度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造价进行控制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信息进行管理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对工程建设相关方的关系进行协调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并履行建设工程安全生产管理法定职责的服务活动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 xml:space="preserve">1.1.6 “相关服务”是指监理人受委托人的委托 </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按照本合同约定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在勘察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保修等阶段提供的服务活动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1.1.7 “正常工作”指本合同订立时通用条件和专用条件中约定的监理人的工作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1.1.8 “附加工作”是指本合同约定的正常工作以外监理人的工作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1.1.9 “项目监理机构”是指监理人派驻工程负责履行本合同的组织机构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1.1.10 “总监理工程师”是指由监理人的法定代表人书面授权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全面负责履行本合同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主持项目监理机构工作的注册监理工程师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1.1.11 “酬金”是指监理人履行本合同义务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委托人按照本合同约定给付监理人的金额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1.1.12 “正常工作酬金”是指监理人完成正常工作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委托人应给付监理人并在协议书中载明的签约酬金额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1.1.13 “附加工作酬金”是指监理人完成附加工作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委托人应给付监理人的金额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1.1.14 “一方”是指委托人或监理人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“双方”是指委托人和监理人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“第三方”是指除委托人和监理人以外的有关方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1.1.15 “书面形式”是指合同书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信件和数据电文（包括电报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电传</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传真</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电子数据交换和电子邮件）等可以有形地表现所载内容的形式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1.1.16 “天”是指第一天零时至第二天零时的时间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1.1.17“月”是指按公历从一个月中任何一天开始的一个公历月时间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1.1.18 “不可抗力”是指委托人和监理人在订立本合同时不可预见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在工程施工过程中不可避免发生并不能克服的自然灾害和社会性突发事件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如地震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海啸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瘟疫</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水灾</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骚乱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暴动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战争和专用条件约定的其他情形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58" w:name="_Toc5533"/>
      <w:bookmarkStart w:id="559" w:name="_Toc10729"/>
      <w:r>
        <w:rPr>
          <w:rFonts w:hint="eastAsia" w:ascii="宋体" w:hAnsi="宋体" w:eastAsia="宋体" w:cs="宋体"/>
          <w:spacing w:val="14"/>
          <w:sz w:val="24"/>
          <w:szCs w:val="24"/>
        </w:rPr>
        <w:t>1.2 解释</w:t>
      </w:r>
      <w:bookmarkEnd w:id="558"/>
      <w:bookmarkEnd w:id="55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1.2.1本合同使用中文书写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解释和说明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如专用条件约定使用两种及以上语言文字时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应以中文为准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1.2.2 组成本合同的下列文件彼此应能相互解释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互为说明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除专用条件另有约定外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本合同文件的解释顺序如下：</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（1）协议书</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（2）中标通知书（适用于招标工程）或委托书（适用于非招标工程）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（3）专用条件及附录A</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附录B</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（4）通用条件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（5）投标文件（适用于招标工程）或监理与相关服务建议书（适用于非招标工程）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双方签订的补充协议与其他文件发生矛盾或歧义时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属于同一类内容的文件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应以最新签署的为准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60" w:name="_Toc27112"/>
      <w:bookmarkStart w:id="561" w:name="_Toc105"/>
      <w:r>
        <w:rPr>
          <w:rFonts w:hint="eastAsia" w:ascii="宋体" w:hAnsi="宋体" w:eastAsia="宋体" w:cs="宋体"/>
          <w:spacing w:val="14"/>
          <w:sz w:val="24"/>
          <w:szCs w:val="24"/>
        </w:rPr>
        <w:t>2. 监理人的义务</w:t>
      </w:r>
      <w:bookmarkEnd w:id="560"/>
      <w:bookmarkEnd w:id="56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62" w:name="_Toc9698"/>
      <w:bookmarkStart w:id="563" w:name="_Toc26738"/>
      <w:r>
        <w:rPr>
          <w:rFonts w:hint="eastAsia" w:ascii="宋体" w:hAnsi="宋体" w:eastAsia="宋体" w:cs="宋体"/>
          <w:spacing w:val="14"/>
          <w:sz w:val="24"/>
          <w:szCs w:val="24"/>
        </w:rPr>
        <w:t>2.1 监理的范围和工作内容</w:t>
      </w:r>
      <w:bookmarkEnd w:id="562"/>
      <w:bookmarkEnd w:id="56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2.1.1 监理范围在专用条件中约定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2.1.2 除专用条件另有约定外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监理工作内容包括：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（1）收到工程设计文件后编制监理规划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并在第一次工地会议7天前报委托人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根据有关规定和监理工作需要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编制监理实施细则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（2）熟悉工程设计文件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并参加由委托人主持的图纸会审和设计交底会议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（3）参加由委托人主持的第一次工地会议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主持监理例会并根据工程需要主持或参加专题会议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（4）审查施工承包人提交的施工组织设计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重点审查其中的质量安全技术措施</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专项施工方案与工程建设强制性标准的符合性</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（5）检查施工承包人工程质量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安全生产管理制度及组织机构和人员资格</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 xml:space="preserve">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（6）检查施工承包人专职安全生产管理人员的配备情况</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（7）审查施工承包人提交的施工进度计划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核查承包人对施工进度计划的调整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（8）检查施工承包人的试验室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（9）审核施工分包人资质条件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（10）查验施工承包人的施工测量放线成果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（11）审查工程开工条件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对条件具备的签发开工令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（12）审查施工承包人报送的工程材料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构配件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设备质量证明文件的有效性和符合性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并按规定对用于工程的材料采取平行检验或见证取样方式进行抽检</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（13）审核施工承包人提交的工程款支付申请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签发或出具工程款支付证书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并报委托人审核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批准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（14）在巡视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旁站和检验过程中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发现工程质量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施工安全存在事故隐患的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要求施工承包人整改并报委托人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（15）经委托人同意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签发工程暂停令和复工令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（16）审查施工承包人提交的采用新材料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新工艺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新技术</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新设备的论证材料及相关验收标准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（17）验收隐蔽工程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分部分项工程</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（18）审查施工承包人提交的工程申请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协调处理施工进度调整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费用索赔</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合同争议等事项</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（19）审查施工承包人提交的竣工验收申请</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编写工程质量评估报告</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（20）参加工程竣工验收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签署竣工验收意见</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（21）审查施工承包人提交的竣工结算申请并报委托人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（22）编制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整理工程监理归档文件并报委托人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2.1.3 相关服务的范围和内容在附录A中约定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64" w:name="_Toc6841"/>
      <w:bookmarkStart w:id="565" w:name="_Toc18242"/>
      <w:r>
        <w:rPr>
          <w:rFonts w:hint="eastAsia" w:ascii="宋体" w:hAnsi="宋体" w:eastAsia="宋体" w:cs="宋体"/>
          <w:spacing w:val="14"/>
          <w:sz w:val="24"/>
          <w:szCs w:val="24"/>
        </w:rPr>
        <w:t>2.2 监理与相关服务依据</w:t>
      </w:r>
      <w:bookmarkEnd w:id="564"/>
      <w:bookmarkEnd w:id="56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2.2.1 监理依据包括：</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（1）适用的法律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行政法规及部门规章</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（2）与工程有关的标准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（3）工程设计及有关文件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（4）本合同及委托人与第三方签订的与实施工程有关的其他合同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双方根据工程的行业和地域特点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在专用条件中具体约定监理依据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2.2.2 相关服务依据在专用条件中约定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66" w:name="_Toc30073"/>
      <w:bookmarkStart w:id="567" w:name="_Toc11233"/>
      <w:r>
        <w:rPr>
          <w:rFonts w:hint="eastAsia" w:ascii="宋体" w:hAnsi="宋体" w:eastAsia="宋体" w:cs="宋体"/>
          <w:spacing w:val="14"/>
          <w:sz w:val="24"/>
          <w:szCs w:val="24"/>
        </w:rPr>
        <w:t>2.3 项目监理机构和人员</w:t>
      </w:r>
      <w:bookmarkEnd w:id="566"/>
      <w:bookmarkEnd w:id="56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2.3.1 监理人应组建满足工作需要的项目监理机构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配备必要的检测设备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项目监理机构的主要人员应具有相应的资格条件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2.3.2本合同履行过程中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总监理工程师及重要岗位监理人员应保持相对稳定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以保证监理工作正常进行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2.3.3监理人可根据工程进展和工作需要调整项目监理机构人员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监理人更换总监理工程师时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应提前7天向委托人书面报告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经委托人同意后方可更换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监理人更换项目监理机构其他监理人员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应以相当资格与能力的人员替换</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并通知委托人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2.3.4 监理人应及时更换有下列情形之一的监理人员：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（1）严重过失行为的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（2）有违法行为不能履行职责的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（3）涉嫌犯罪的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（4）不能胜任岗位职责的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（5）严重违反职业道德的</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（6）专用条件约定的其他情形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2.3.5 委托人可要求监理人更换不能胜任本职工作的项目监理机构人员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68" w:name="_Toc15632"/>
      <w:bookmarkStart w:id="569" w:name="_Toc2834"/>
      <w:r>
        <w:rPr>
          <w:rFonts w:hint="eastAsia" w:ascii="宋体" w:hAnsi="宋体" w:eastAsia="宋体" w:cs="宋体"/>
          <w:spacing w:val="14"/>
          <w:sz w:val="24"/>
          <w:szCs w:val="24"/>
        </w:rPr>
        <w:t>2.4 履行职责</w:t>
      </w:r>
      <w:bookmarkEnd w:id="568"/>
      <w:bookmarkEnd w:id="56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监理人应遵循职业道德准则和行为规范</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严格按照法律法规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工程建设有关标准及本合同履行职责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2.4.1 在监理与相关服务范围内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委托人和承包人提出的意见和要求</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监理人应及时提出处置意见</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当委托人与承包人之间发生合同争议时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监理人应协助委托人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承包人协商解决</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2.4.2 当委托人与承包人之间的合同争议提交仲裁机构仲裁或人民法院审理时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监理人应提供必要的证明资料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2.4.3 监理人应在专用条件约定的授权范围内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处理委托人与承包人所签订合同的事宜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如果超过授权范围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应以书面形式报委托人批准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在紧急情况下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为了保护财产和人身安全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监理人所发出的指令未能事先报委托人批准时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应在发出指令后的24小时内以书面形式报委托人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2.4.4 除专用条件另有约定外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监理人发现承包人的人员不能胜任本职工作的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有权要求承包人予以调换</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70" w:name="_Toc20593"/>
      <w:bookmarkStart w:id="571" w:name="_Toc6407"/>
      <w:r>
        <w:rPr>
          <w:rFonts w:hint="eastAsia" w:ascii="宋体" w:hAnsi="宋体" w:eastAsia="宋体" w:cs="宋体"/>
          <w:spacing w:val="14"/>
          <w:sz w:val="24"/>
          <w:szCs w:val="24"/>
        </w:rPr>
        <w:t>2.5 提交报告</w:t>
      </w:r>
      <w:bookmarkEnd w:id="570"/>
      <w:bookmarkEnd w:id="57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监理人应按专用条件约定的种类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时间和份数向委托人提交监理与相关服务的报告</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72" w:name="_Toc12442"/>
      <w:bookmarkStart w:id="573" w:name="_Toc18095"/>
      <w:r>
        <w:rPr>
          <w:rFonts w:hint="eastAsia" w:ascii="宋体" w:hAnsi="宋体" w:eastAsia="宋体" w:cs="宋体"/>
          <w:spacing w:val="14"/>
          <w:sz w:val="24"/>
          <w:szCs w:val="24"/>
        </w:rPr>
        <w:t>2.6 文件资料</w:t>
      </w:r>
      <w:bookmarkEnd w:id="572"/>
      <w:bookmarkEnd w:id="57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在本合同履行期内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监理人应在现场保留工作所用的图纸</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报告及记录监理工作的相关文件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工程竣工后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应当按照档案管理规定将监理有关文件归档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74" w:name="_Toc23656"/>
      <w:bookmarkStart w:id="575" w:name="_Toc856"/>
      <w:r>
        <w:rPr>
          <w:rFonts w:hint="eastAsia" w:ascii="宋体" w:hAnsi="宋体" w:eastAsia="宋体" w:cs="宋体"/>
          <w:spacing w:val="14"/>
          <w:sz w:val="24"/>
          <w:szCs w:val="24"/>
        </w:rPr>
        <w:t>2.7 使用委托人的财产</w:t>
      </w:r>
      <w:bookmarkEnd w:id="574"/>
      <w:bookmarkEnd w:id="57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监理人无偿使用附录B中由委托人派遣的人员和提供的房屋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除专用条件另有约定外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委托人提供的房屋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设备属于委托人的财产</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监理人应妥善使用和保管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在本合同终止时将这些房屋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设备的清单提交委托人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并按专用条件约定的时间和方式移交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76" w:name="_Toc22501"/>
      <w:bookmarkStart w:id="577" w:name="_Toc25243"/>
      <w:r>
        <w:rPr>
          <w:rFonts w:hint="eastAsia" w:ascii="宋体" w:hAnsi="宋体" w:eastAsia="宋体" w:cs="宋体"/>
          <w:spacing w:val="14"/>
          <w:sz w:val="24"/>
          <w:szCs w:val="24"/>
        </w:rPr>
        <w:t>3．委托人的义务</w:t>
      </w:r>
      <w:bookmarkEnd w:id="576"/>
      <w:bookmarkEnd w:id="57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78" w:name="_Toc20380"/>
      <w:bookmarkStart w:id="579" w:name="_Toc16531"/>
      <w:r>
        <w:rPr>
          <w:rFonts w:hint="eastAsia" w:ascii="宋体" w:hAnsi="宋体" w:eastAsia="宋体" w:cs="宋体"/>
          <w:spacing w:val="14"/>
          <w:sz w:val="24"/>
          <w:szCs w:val="24"/>
        </w:rPr>
        <w:t>3.1 告知</w:t>
      </w:r>
      <w:bookmarkEnd w:id="578"/>
      <w:bookmarkEnd w:id="57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委托人应在委托人与承包人签订的合同中明确监理人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总监理工程师和授予项目监理机构的权限</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应及时通知承包人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80" w:name="_Toc29817"/>
      <w:bookmarkStart w:id="581" w:name="_Toc439"/>
      <w:r>
        <w:rPr>
          <w:rFonts w:hint="eastAsia" w:ascii="宋体" w:hAnsi="宋体" w:eastAsia="宋体" w:cs="宋体"/>
          <w:spacing w:val="14"/>
          <w:sz w:val="24"/>
          <w:szCs w:val="24"/>
        </w:rPr>
        <w:t>3.2 提供资料</w:t>
      </w:r>
      <w:bookmarkEnd w:id="580"/>
      <w:bookmarkEnd w:id="58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委托人应按照附录B约定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无偿向监理人提供工程有关的资料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在本合同履行过程中</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委托人应及时向监理人提供最新的与工程有关的资料</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82" w:name="_Toc561"/>
      <w:bookmarkStart w:id="583" w:name="_Toc16947"/>
      <w:r>
        <w:rPr>
          <w:rFonts w:hint="eastAsia" w:ascii="宋体" w:hAnsi="宋体" w:eastAsia="宋体" w:cs="宋体"/>
          <w:spacing w:val="14"/>
          <w:sz w:val="24"/>
          <w:szCs w:val="24"/>
        </w:rPr>
        <w:t>3.3 提供工作条件</w:t>
      </w:r>
      <w:bookmarkEnd w:id="582"/>
      <w:bookmarkEnd w:id="58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委托人应为监理人完成监理与相关服务提供必要的条件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3.3.1 委托人应按照附录B约定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派遣相应的人员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提供房屋</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设备</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供监理人无偿使用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3.3.2 委托人应负责协调工程建设中所有外部关系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为监理人履行本合同提供必要的外部条件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84" w:name="_Toc21703"/>
      <w:bookmarkStart w:id="585" w:name="_Toc25663"/>
      <w:r>
        <w:rPr>
          <w:rFonts w:hint="eastAsia" w:ascii="宋体" w:hAnsi="宋体" w:eastAsia="宋体" w:cs="宋体"/>
          <w:spacing w:val="14"/>
          <w:sz w:val="24"/>
          <w:szCs w:val="24"/>
        </w:rPr>
        <w:t>3.4 委托人代表</w:t>
      </w:r>
      <w:bookmarkEnd w:id="584"/>
      <w:bookmarkEnd w:id="58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委托人应授权一名熟悉工程情况的代表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负责与监理人联系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委托人应在双方签订本合同后7天内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将委托人代表的姓名和职责书面告知监理人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当委托人更换委托人代表时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应提前7天通知监理人</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86" w:name="_Toc16874"/>
      <w:bookmarkStart w:id="587" w:name="_Toc23521"/>
      <w:r>
        <w:rPr>
          <w:rFonts w:hint="eastAsia" w:ascii="宋体" w:hAnsi="宋体" w:eastAsia="宋体" w:cs="宋体"/>
          <w:spacing w:val="14"/>
          <w:sz w:val="24"/>
          <w:szCs w:val="24"/>
        </w:rPr>
        <w:t>3.5 委托人意见或要求</w:t>
      </w:r>
      <w:bookmarkEnd w:id="586"/>
      <w:bookmarkEnd w:id="58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在本合同约定的监理与相关服务工作范围内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委托人对承包人的任何意见或要求应通知监理人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由监理人向承包人发出相应指令</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88" w:name="_Toc7516"/>
      <w:bookmarkStart w:id="589" w:name="_Toc26879"/>
      <w:r>
        <w:rPr>
          <w:rFonts w:hint="eastAsia" w:ascii="宋体" w:hAnsi="宋体" w:eastAsia="宋体" w:cs="宋体"/>
          <w:spacing w:val="14"/>
          <w:sz w:val="24"/>
          <w:szCs w:val="24"/>
        </w:rPr>
        <w:t>3.6 答复</w:t>
      </w:r>
      <w:bookmarkEnd w:id="588"/>
      <w:bookmarkEnd w:id="58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委托人应在专用条件约定的时间内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对监理人以书面形式提交并要求作出决定的事宜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给予书面答复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逾期未答复的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视为委托人认可</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90" w:name="_Toc23221"/>
      <w:bookmarkStart w:id="591" w:name="_Toc4274"/>
      <w:r>
        <w:rPr>
          <w:rFonts w:hint="eastAsia" w:ascii="宋体" w:hAnsi="宋体" w:eastAsia="宋体" w:cs="宋体"/>
          <w:spacing w:val="14"/>
          <w:sz w:val="24"/>
          <w:szCs w:val="24"/>
        </w:rPr>
        <w:t>3.7 支付</w:t>
      </w:r>
      <w:bookmarkEnd w:id="590"/>
      <w:bookmarkEnd w:id="59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委托人应按本合同约定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向监理人支付酬金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592" w:name="_Toc27772"/>
      <w:bookmarkStart w:id="593" w:name="_Toc15251"/>
      <w:r>
        <w:rPr>
          <w:rFonts w:hint="eastAsia" w:ascii="宋体" w:hAnsi="宋体" w:eastAsia="宋体" w:cs="宋体"/>
          <w:spacing w:val="14"/>
          <w:sz w:val="24"/>
          <w:szCs w:val="24"/>
        </w:rPr>
        <w:t>4. 违约责任</w:t>
      </w:r>
      <w:bookmarkEnd w:id="592"/>
      <w:bookmarkEnd w:id="59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94" w:name="_Toc11299"/>
      <w:bookmarkStart w:id="595" w:name="_Toc19517"/>
      <w:r>
        <w:rPr>
          <w:rFonts w:hint="eastAsia" w:ascii="宋体" w:hAnsi="宋体" w:eastAsia="宋体" w:cs="宋体"/>
          <w:spacing w:val="14"/>
          <w:sz w:val="24"/>
          <w:szCs w:val="24"/>
        </w:rPr>
        <w:t>4.1 监理人的违约责任</w:t>
      </w:r>
      <w:bookmarkEnd w:id="594"/>
      <w:bookmarkEnd w:id="59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监理人未履行本合同义务的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应承担相应的责任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4.1.1 因监理人违反本合同约定给委托人造成损失的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监理人应当赔偿委托人损失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赔偿金额的确定方法在专用条件中约定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监理人承担部分赔偿责任的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其承担赔偿金额由双方协商确定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4.1.2 监理人向委托人的索赔不成立时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监理人应赔偿委托人由此发生的费用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96" w:name="_Toc28811"/>
      <w:bookmarkStart w:id="597" w:name="_Toc22253"/>
      <w:r>
        <w:rPr>
          <w:rFonts w:hint="eastAsia" w:ascii="宋体" w:hAnsi="宋体" w:eastAsia="宋体" w:cs="宋体"/>
          <w:spacing w:val="14"/>
          <w:sz w:val="24"/>
          <w:szCs w:val="24"/>
        </w:rPr>
        <w:t>4.2 委托人的违约责任</w:t>
      </w:r>
      <w:bookmarkEnd w:id="596"/>
      <w:bookmarkEnd w:id="59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委托人未履行本合同义务的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应承担相应的责任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4.2.1 委托人违反本合同约定造成监理人损失的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委托人应予以赔偿</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4.2.2 委托人向监理人的索赔不成立时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应赔偿监理人由此引起的费用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4.2.3 委托人未能按期支付酬金超过28天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应按专用条件约定支付逾期付款利息</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598" w:name="_Toc32573"/>
      <w:bookmarkStart w:id="599" w:name="_Toc7790"/>
      <w:r>
        <w:rPr>
          <w:rFonts w:hint="eastAsia" w:ascii="宋体" w:hAnsi="宋体" w:eastAsia="宋体" w:cs="宋体"/>
          <w:spacing w:val="14"/>
          <w:sz w:val="24"/>
          <w:szCs w:val="24"/>
        </w:rPr>
        <w:t>4.3 除外责任</w:t>
      </w:r>
      <w:bookmarkEnd w:id="598"/>
      <w:bookmarkEnd w:id="59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因非监理人的原因</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且监理人无过错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发生工程质量事故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安全事故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工期延误等造成的损失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监理人不承担赔偿责任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因不可抗力导致本合同全部或部分不能履行时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双方各自承担其因此而造成的损失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损害</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600" w:name="_Toc11086"/>
      <w:bookmarkStart w:id="601" w:name="_Toc6771"/>
      <w:r>
        <w:rPr>
          <w:rFonts w:hint="eastAsia" w:ascii="宋体" w:hAnsi="宋体" w:eastAsia="宋体" w:cs="宋体"/>
          <w:spacing w:val="14"/>
          <w:sz w:val="24"/>
          <w:szCs w:val="24"/>
        </w:rPr>
        <w:t>5. 支付</w:t>
      </w:r>
      <w:bookmarkEnd w:id="600"/>
      <w:bookmarkEnd w:id="60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02" w:name="_Toc8654"/>
      <w:bookmarkStart w:id="603" w:name="_Toc19524"/>
      <w:r>
        <w:rPr>
          <w:rFonts w:hint="eastAsia" w:ascii="宋体" w:hAnsi="宋体" w:eastAsia="宋体" w:cs="宋体"/>
          <w:spacing w:val="14"/>
          <w:sz w:val="24"/>
          <w:szCs w:val="24"/>
        </w:rPr>
        <w:t>5.1 支付货币</w:t>
      </w:r>
      <w:bookmarkEnd w:id="602"/>
      <w:bookmarkEnd w:id="60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除专用条件另有约定外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酬金均以人民币支付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涉及外币支付的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所采用的货币种类</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比例和汇率在专用条件中约定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04" w:name="_Toc12564"/>
      <w:bookmarkStart w:id="605" w:name="_Toc121"/>
      <w:r>
        <w:rPr>
          <w:rFonts w:hint="eastAsia" w:ascii="宋体" w:hAnsi="宋体" w:eastAsia="宋体" w:cs="宋体"/>
          <w:spacing w:val="14"/>
          <w:sz w:val="24"/>
          <w:szCs w:val="24"/>
        </w:rPr>
        <w:t>5.2 支付申请</w:t>
      </w:r>
      <w:bookmarkEnd w:id="604"/>
      <w:bookmarkEnd w:id="60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监理人应在本合同约定的每次应付款时间的7天前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向委托人提交支付申请书</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支付申请书应当说明当期应付款总额</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并列出当期应支付的款项及其金额</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06" w:name="_Toc18228"/>
      <w:bookmarkStart w:id="607" w:name="_Toc4158"/>
      <w:r>
        <w:rPr>
          <w:rFonts w:hint="eastAsia" w:ascii="宋体" w:hAnsi="宋体" w:eastAsia="宋体" w:cs="宋体"/>
          <w:spacing w:val="14"/>
          <w:sz w:val="24"/>
          <w:szCs w:val="24"/>
        </w:rPr>
        <w:t>5.3 支付酬金</w:t>
      </w:r>
      <w:bookmarkEnd w:id="606"/>
      <w:bookmarkEnd w:id="60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支付的酬金包括正常工作酬金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附加工作酬金</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合理化建议奖励金额及费用</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08" w:name="_Toc18427"/>
      <w:bookmarkStart w:id="609" w:name="_Toc23519"/>
      <w:r>
        <w:rPr>
          <w:rFonts w:hint="eastAsia" w:ascii="宋体" w:hAnsi="宋体" w:eastAsia="宋体" w:cs="宋体"/>
          <w:spacing w:val="14"/>
          <w:sz w:val="24"/>
          <w:szCs w:val="24"/>
        </w:rPr>
        <w:t>5.4 有争议部分的付款</w:t>
      </w:r>
      <w:bookmarkEnd w:id="608"/>
      <w:bookmarkEnd w:id="60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委托人对监理人提交的支付申请书有异议时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应当在收到监理人提交的支付申请书后7天内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以书面形式向监理人发出异议通知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无异议部分的款项应按期支付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有异议部分的款项按第7条约定办理</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610" w:name="_Toc3888"/>
      <w:bookmarkStart w:id="611" w:name="_Toc18388"/>
      <w:r>
        <w:rPr>
          <w:rFonts w:hint="eastAsia" w:ascii="宋体" w:hAnsi="宋体" w:eastAsia="宋体" w:cs="宋体"/>
          <w:spacing w:val="14"/>
          <w:sz w:val="24"/>
          <w:szCs w:val="24"/>
        </w:rPr>
        <w:t>6. 合同生效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暂停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解除与终止</w:t>
      </w:r>
      <w:bookmarkEnd w:id="610"/>
      <w:bookmarkEnd w:id="61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12" w:name="_Toc14551"/>
      <w:bookmarkStart w:id="613" w:name="_Toc17316"/>
      <w:r>
        <w:rPr>
          <w:rFonts w:hint="eastAsia" w:ascii="宋体" w:hAnsi="宋体" w:eastAsia="宋体" w:cs="宋体"/>
          <w:spacing w:val="14"/>
          <w:sz w:val="24"/>
          <w:szCs w:val="24"/>
        </w:rPr>
        <w:t>6.1生效</w:t>
      </w:r>
      <w:bookmarkEnd w:id="612"/>
      <w:bookmarkEnd w:id="61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除法律另有规定或者专用条件另有约定外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委托人和监理人的法定代表人或其授权代理人在协议书上签字并盖单位章后本合同生效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6.2</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6.2.1 任何一方提出请求时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双方经协商一致后可进行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6.2.2除不可抗力外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因非监理人原因导致监理人履行合同期限延长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内容增加时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监理人应当将此情况与可能产生的影响及时通知委托人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增加的监理工作时间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工作内容应视为附加工作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附加工作酬金的确定方法在专用条件中约定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6.2.3合同生效后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如果实际情况发生变化使得监理人不能完成全部或部分工作时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监理人应立即通知委托人</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除不可抗力外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其善后工作以及恢复服务的准备工作应为附加工作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附加工作酬金的确定方法在专用条件中约定</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监理人用于恢复服务的准备时间不应超过28天</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6.2.4合同签订后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遇有与工程相关的法律法规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标准颁布或修订的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双方应遵照执行</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由此引起监理与相关服务的范围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时间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酬金变化的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双方应通过协商进行相应调整</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6.2.5 因非监理人原因造成工程概算投资额或建筑安装工程费增加时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正常工作酬金应作相应调整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调整方法在专用条件中约定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6.2.6 因工程规模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监理范围的变化导致监理人的正常工作量减少时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正常工作酬金应作相应调整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调整方法在专用条件中约定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14" w:name="_Toc5120"/>
      <w:bookmarkStart w:id="615" w:name="_Toc8919"/>
      <w:r>
        <w:rPr>
          <w:rFonts w:hint="eastAsia" w:ascii="宋体" w:hAnsi="宋体" w:eastAsia="宋体" w:cs="宋体"/>
          <w:spacing w:val="14"/>
          <w:sz w:val="24"/>
          <w:szCs w:val="24"/>
        </w:rPr>
        <w:t>6.3 暂停与解除</w:t>
      </w:r>
      <w:bookmarkEnd w:id="614"/>
      <w:bookmarkEnd w:id="61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除双方协商一致可以解除本合同外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当一方无正当理由未履行本合同约定的义务时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另一方可以根据本合同约定暂停履行本合同直至解除本合同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6.3.1 在本合同有效期内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由于双方无法预见和控制的原因导致本合同全部或部分无法继续履行或继续履行已无意义</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经双方协商一致</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可以解除本合同或监理人的部分义务</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在解除之前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监理人应作出合理安排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使开支减至最小</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因解除本合同或解除监理人的部分义务导致监理人遭受的损失</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除依法可以免除责任的情况外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应由委托人予以补偿</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补偿金额由双方协商确定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解除本合同的协议必须采取书面形式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协议未达成之前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本合同仍然有效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6.3.2 在本合同有效期内</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因非监理人的原因导致工程施工全部或部分暂停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委托人可通知监理人要求暂停全部或部分工作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监理人应立即安排停止工作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并将开支减至最小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除不可抗力外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由此导致监理人遭受的损失应由委托人予以补偿</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暂停部分监理与相关服务时间超过182天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监理人可发出解除本合同约定的该部分义务的通知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暂停全部工作时间超过182天</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监理人可发出解除本合同的通知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本合同自通知到达委托人时解除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委托人应将监理与相关服务的酬金支付至本合同解除日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且应承担第4.2款约定的责任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6.3.3 当监理人无正当理由未履行本合同约定的义务时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委托人应通知监理人限期改正</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若委托人在监理人接到通知后的7天内未收到监理人书面形式的合理解释</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则可在7天内发出解除本合同的通知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自通知到达监理人时本合同解除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委托人应将监理与相关服务的酬金支付至限期改正通知到达监理人之日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但监理人应承担第4.1款约定的责任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6.3.4 监理人在专用条件5.3中约定的支付之日起28天后仍未收到委托人按本合同约定应付的款项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可向委托人发出催付通知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委托人接到通知14天后仍未支付或未提出监理人可以接受的延期支付安排</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监理人可向委托人发出暂停工作的通知并可自行暂停全部或部分工作</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暂停工作后14天内监理人仍未获得委托人应付酬金或委托人的合理答复</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监理人可向委托人发出解除本合同的通知</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自通知到达委托人时本合同解除</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委托人应承担第4.2.3款约定的责任</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6.3.5 因不可抗力致使本合同部分或全部不能履行时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一方应立即通知另一方</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可暂停或解除本合同</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6.3.6 本合同解除后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本合同约定的有关结算</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清理</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争议解决方式的条件仍然有效</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16" w:name="_Toc23220"/>
      <w:bookmarkStart w:id="617" w:name="_Toc30194"/>
      <w:r>
        <w:rPr>
          <w:rFonts w:hint="eastAsia" w:ascii="宋体" w:hAnsi="宋体" w:eastAsia="宋体" w:cs="宋体"/>
          <w:spacing w:val="14"/>
          <w:sz w:val="24"/>
          <w:szCs w:val="24"/>
        </w:rPr>
        <w:t>6.4 终止</w:t>
      </w:r>
      <w:bookmarkEnd w:id="616"/>
      <w:bookmarkEnd w:id="61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rPr>
      </w:pPr>
      <w:r>
        <w:rPr>
          <w:rFonts w:hint="eastAsia" w:ascii="宋体" w:hAnsi="宋体" w:eastAsia="宋体" w:cs="宋体"/>
          <w:spacing w:val="14"/>
          <w:sz w:val="24"/>
          <w:szCs w:val="24"/>
        </w:rPr>
        <w:t>以下条件全部满足时</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本合同即告终止：</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（1）监理人完成本合同约定的全部工作</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（2）委托人与监理人结清并支付全部酬金</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618" w:name="_Toc2743"/>
      <w:bookmarkStart w:id="619" w:name="_Toc17023"/>
      <w:r>
        <w:rPr>
          <w:rFonts w:hint="eastAsia" w:ascii="宋体" w:hAnsi="宋体" w:eastAsia="宋体" w:cs="宋体"/>
          <w:spacing w:val="14"/>
          <w:sz w:val="24"/>
          <w:szCs w:val="24"/>
        </w:rPr>
        <w:t>7. 争议解决</w:t>
      </w:r>
      <w:bookmarkEnd w:id="618"/>
      <w:bookmarkEnd w:id="61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20" w:name="_Toc2126"/>
      <w:bookmarkStart w:id="621" w:name="_Toc860"/>
      <w:r>
        <w:rPr>
          <w:rFonts w:hint="eastAsia" w:ascii="宋体" w:hAnsi="宋体" w:eastAsia="宋体" w:cs="宋体"/>
          <w:spacing w:val="14"/>
          <w:sz w:val="24"/>
          <w:szCs w:val="24"/>
        </w:rPr>
        <w:t>7.1协商</w:t>
      </w:r>
      <w:bookmarkEnd w:id="620"/>
      <w:bookmarkEnd w:id="62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双方应本着诚信原则协商解决彼此间的争议</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22" w:name="_Toc5159"/>
      <w:bookmarkStart w:id="623" w:name="_Toc26966"/>
      <w:r>
        <w:rPr>
          <w:rFonts w:hint="eastAsia" w:ascii="宋体" w:hAnsi="宋体" w:eastAsia="宋体" w:cs="宋体"/>
          <w:spacing w:val="14"/>
          <w:sz w:val="24"/>
          <w:szCs w:val="24"/>
        </w:rPr>
        <w:t>7.2调解</w:t>
      </w:r>
      <w:bookmarkEnd w:id="622"/>
      <w:bookmarkEnd w:id="62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如果双方不能在14天内或双方商定的其他时间内解决本合同争议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可以将其提交给专用条件约定的或事后达成协议的调解人进行调解</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24" w:name="_Toc21201"/>
      <w:bookmarkStart w:id="625" w:name="_Toc28871"/>
      <w:r>
        <w:rPr>
          <w:rFonts w:hint="eastAsia" w:ascii="宋体" w:hAnsi="宋体" w:eastAsia="宋体" w:cs="宋体"/>
          <w:spacing w:val="14"/>
          <w:sz w:val="24"/>
          <w:szCs w:val="24"/>
        </w:rPr>
        <w:t>7.3仲裁或诉讼</w:t>
      </w:r>
      <w:bookmarkEnd w:id="624"/>
      <w:bookmarkEnd w:id="62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双方均有权不经调解直接向专用条件约定的仲裁机构申请仲裁或向有管辖权的人民法院提起诉讼</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1"/>
        <w:rPr>
          <w:rFonts w:hint="eastAsia" w:ascii="宋体" w:hAnsi="宋体" w:eastAsia="宋体" w:cs="宋体"/>
          <w:spacing w:val="14"/>
          <w:sz w:val="24"/>
          <w:szCs w:val="24"/>
        </w:rPr>
      </w:pPr>
      <w:bookmarkStart w:id="626" w:name="_Toc29449"/>
      <w:bookmarkStart w:id="627" w:name="_Toc16926"/>
      <w:r>
        <w:rPr>
          <w:rFonts w:hint="eastAsia" w:ascii="宋体" w:hAnsi="宋体" w:eastAsia="宋体" w:cs="宋体"/>
          <w:spacing w:val="14"/>
          <w:sz w:val="24"/>
          <w:szCs w:val="24"/>
        </w:rPr>
        <w:t>8. 其他</w:t>
      </w:r>
      <w:bookmarkEnd w:id="626"/>
      <w:bookmarkEnd w:id="62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28" w:name="_Toc14091"/>
      <w:bookmarkStart w:id="629" w:name="_Toc6638"/>
      <w:r>
        <w:rPr>
          <w:rFonts w:hint="eastAsia" w:ascii="宋体" w:hAnsi="宋体" w:eastAsia="宋体" w:cs="宋体"/>
          <w:spacing w:val="14"/>
          <w:sz w:val="24"/>
          <w:szCs w:val="24"/>
        </w:rPr>
        <w:t>8.1 外出考察费用</w:t>
      </w:r>
      <w:bookmarkEnd w:id="628"/>
      <w:bookmarkEnd w:id="62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经委托人同意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监理人员外出考察发生的费用由委托人审核后支付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30" w:name="_Toc30193"/>
      <w:bookmarkStart w:id="631" w:name="_Toc440"/>
      <w:r>
        <w:rPr>
          <w:rFonts w:hint="eastAsia" w:ascii="宋体" w:hAnsi="宋体" w:eastAsia="宋体" w:cs="宋体"/>
          <w:spacing w:val="14"/>
          <w:sz w:val="24"/>
          <w:szCs w:val="24"/>
        </w:rPr>
        <w:t>8.2 检测费用</w:t>
      </w:r>
      <w:bookmarkEnd w:id="630"/>
      <w:bookmarkEnd w:id="63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委托人要求监理人进行的材料和设备检测所发生的费用</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由委托人支付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支付时间在专用条件中约定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32" w:name="_Toc3971"/>
      <w:bookmarkStart w:id="633" w:name="_Toc8902"/>
      <w:r>
        <w:rPr>
          <w:rFonts w:hint="eastAsia" w:ascii="宋体" w:hAnsi="宋体" w:eastAsia="宋体" w:cs="宋体"/>
          <w:spacing w:val="14"/>
          <w:sz w:val="24"/>
          <w:szCs w:val="24"/>
        </w:rPr>
        <w:t>8.3 咨询费用</w:t>
      </w:r>
      <w:bookmarkEnd w:id="632"/>
      <w:bookmarkEnd w:id="63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经委托人同意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根据工程需要由监理人组织的相关咨询论证会以及聘请相关专家等发生的费用由委托人支付</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支付时间在专用条件中约定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34" w:name="_Toc216"/>
      <w:bookmarkStart w:id="635" w:name="_Toc7708"/>
      <w:r>
        <w:rPr>
          <w:rFonts w:hint="eastAsia" w:ascii="宋体" w:hAnsi="宋体" w:eastAsia="宋体" w:cs="宋体"/>
          <w:spacing w:val="14"/>
          <w:sz w:val="24"/>
          <w:szCs w:val="24"/>
        </w:rPr>
        <w:t>8.4 奖励</w:t>
      </w:r>
      <w:bookmarkEnd w:id="634"/>
      <w:bookmarkEnd w:id="635"/>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监理人在服务过程中提出的合理化建议</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使委托人获得经济效益的</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双方在专用条件中约定奖励金额的确定方法</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奖励金额在合理化建议被采纳后</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与最近一期的正常工作酬金同期支付</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36" w:name="_Toc1553"/>
      <w:bookmarkStart w:id="637" w:name="_Toc868"/>
      <w:r>
        <w:rPr>
          <w:rFonts w:hint="eastAsia" w:ascii="宋体" w:hAnsi="宋体" w:eastAsia="宋体" w:cs="宋体"/>
          <w:spacing w:val="14"/>
          <w:sz w:val="24"/>
          <w:szCs w:val="24"/>
        </w:rPr>
        <w:t>8.5 守法诚信</w:t>
      </w:r>
      <w:bookmarkEnd w:id="636"/>
      <w:bookmarkEnd w:id="637"/>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监理人及其工作人员不得从与实施工程有关的第三方处获得任何经济利益</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38" w:name="_Toc1582"/>
      <w:bookmarkStart w:id="639" w:name="_Toc8167"/>
      <w:r>
        <w:rPr>
          <w:rFonts w:hint="eastAsia" w:ascii="宋体" w:hAnsi="宋体" w:eastAsia="宋体" w:cs="宋体"/>
          <w:spacing w:val="14"/>
          <w:sz w:val="24"/>
          <w:szCs w:val="24"/>
        </w:rPr>
        <w:t>8.6 保密</w:t>
      </w:r>
      <w:bookmarkEnd w:id="638"/>
      <w:bookmarkEnd w:id="639"/>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双方不得泄露对方申明的保密资料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亦不得泄露与实施工程有关的第三方所提供的保密资料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保密事项在专用条件中约定</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40" w:name="_Toc30328"/>
      <w:bookmarkStart w:id="641" w:name="_Toc31858"/>
      <w:r>
        <w:rPr>
          <w:rFonts w:hint="eastAsia" w:ascii="宋体" w:hAnsi="宋体" w:eastAsia="宋体" w:cs="宋体"/>
          <w:spacing w:val="14"/>
          <w:sz w:val="24"/>
          <w:szCs w:val="24"/>
        </w:rPr>
        <w:t>8.7 通知</w:t>
      </w:r>
      <w:bookmarkEnd w:id="640"/>
      <w:bookmarkEnd w:id="641"/>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本合同涉及的通知均应当采用书面形式</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并在送达对方时生效</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收件人应书面签收</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outlineLvl w:val="2"/>
        <w:rPr>
          <w:rFonts w:hint="eastAsia" w:ascii="宋体" w:hAnsi="宋体" w:eastAsia="宋体" w:cs="宋体"/>
          <w:spacing w:val="14"/>
          <w:sz w:val="24"/>
          <w:szCs w:val="24"/>
        </w:rPr>
      </w:pPr>
      <w:bookmarkStart w:id="642" w:name="_Toc1005"/>
      <w:bookmarkStart w:id="643" w:name="_Toc31486"/>
      <w:r>
        <w:rPr>
          <w:rFonts w:hint="eastAsia" w:ascii="宋体" w:hAnsi="宋体" w:eastAsia="宋体" w:cs="宋体"/>
          <w:spacing w:val="14"/>
          <w:sz w:val="24"/>
          <w:szCs w:val="24"/>
        </w:rPr>
        <w:t>8.8 著作权</w:t>
      </w:r>
      <w:bookmarkEnd w:id="642"/>
      <w:bookmarkEnd w:id="643"/>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监理人对其编制的文件拥有著作权</w:t>
      </w:r>
      <w:r>
        <w:rPr>
          <w:rFonts w:hint="eastAsia" w:ascii="宋体" w:hAnsi="宋体" w:eastAsia="宋体" w:cs="宋体"/>
          <w:spacing w:val="14"/>
          <w:sz w:val="24"/>
          <w:szCs w:val="24"/>
          <w:lang w:eastAsia="zh-CN"/>
        </w:rPr>
        <w:t>。</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5" w:line="360" w:lineRule="auto"/>
        <w:ind w:right="17" w:rightChars="0"/>
        <w:textAlignment w:val="baseline"/>
        <w:rPr>
          <w:rFonts w:hint="eastAsia" w:ascii="宋体" w:hAnsi="宋体" w:eastAsia="宋体" w:cs="宋体"/>
          <w:spacing w:val="14"/>
          <w:sz w:val="24"/>
          <w:szCs w:val="24"/>
          <w:lang w:eastAsia="zh-CN"/>
        </w:rPr>
      </w:pPr>
      <w:r>
        <w:rPr>
          <w:rFonts w:hint="eastAsia" w:ascii="宋体" w:hAnsi="宋体" w:eastAsia="宋体" w:cs="宋体"/>
          <w:spacing w:val="14"/>
          <w:sz w:val="24"/>
          <w:szCs w:val="24"/>
        </w:rPr>
        <w:t>监理人可单独或与他人联合出版有关监理与相关服务的资料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除专用条件另有约定外</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如果监理人在本合同履行期间及本合同终止后两年内出版涉及本工程的有关监理与相关服务的资料</w:t>
      </w:r>
      <w:r>
        <w:rPr>
          <w:rFonts w:hint="eastAsia" w:ascii="宋体" w:hAnsi="宋体" w:eastAsia="宋体" w:cs="宋体"/>
          <w:spacing w:val="14"/>
          <w:sz w:val="24"/>
          <w:szCs w:val="24"/>
          <w:lang w:eastAsia="zh-CN"/>
        </w:rPr>
        <w:t>，</w:t>
      </w:r>
      <w:r>
        <w:rPr>
          <w:rFonts w:hint="eastAsia" w:ascii="宋体" w:hAnsi="宋体" w:eastAsia="宋体" w:cs="宋体"/>
          <w:spacing w:val="14"/>
          <w:sz w:val="24"/>
          <w:szCs w:val="24"/>
        </w:rPr>
        <w:t>应当征得委托人的同意</w:t>
      </w:r>
      <w:r>
        <w:rPr>
          <w:rFonts w:hint="eastAsia" w:ascii="宋体" w:hAnsi="宋体" w:eastAsia="宋体" w:cs="宋体"/>
          <w:spacing w:val="14"/>
          <w:sz w:val="24"/>
          <w:szCs w:val="24"/>
          <w:lang w:eastAsia="zh-CN"/>
        </w:rPr>
        <w:t>。</w:t>
      </w:r>
    </w:p>
    <w:p>
      <w:pPr>
        <w:rPr>
          <w:rFonts w:ascii="宋体" w:hAnsi="宋体" w:eastAsia="宋体" w:cs="宋体"/>
          <w:spacing w:val="13"/>
          <w:sz w:val="31"/>
          <w:szCs w:val="31"/>
          <w14:textOutline w14:w="5793" w14:cap="sq" w14:cmpd="sng">
            <w14:solidFill>
              <w14:srgbClr w14:val="000000"/>
            </w14:solidFill>
            <w14:prstDash w14:val="solid"/>
            <w14:bevel/>
          </w14:textOutline>
        </w:rPr>
      </w:pPr>
      <w:r>
        <w:rPr>
          <w:rFonts w:ascii="宋体" w:hAnsi="宋体" w:eastAsia="宋体" w:cs="宋体"/>
          <w:spacing w:val="13"/>
          <w:sz w:val="31"/>
          <w:szCs w:val="31"/>
          <w14:textOutline w14:w="5793" w14:cap="sq" w14:cmpd="sng">
            <w14:solidFill>
              <w14:srgbClr w14:val="000000"/>
            </w14:solidFill>
            <w14:prstDash w14:val="solid"/>
            <w14:bevel/>
          </w14:textOutline>
        </w:rPr>
        <w:br w:type="page"/>
      </w:r>
    </w:p>
    <w:p>
      <w:pPr>
        <w:pStyle w:val="2"/>
        <w:bidi w:val="0"/>
        <w:rPr>
          <w:rFonts w:hint="eastAsia" w:ascii="宋体" w:hAnsi="宋体" w:eastAsia="宋体" w:cs="宋体"/>
          <w:lang w:eastAsia="zh-CN"/>
        </w:rPr>
      </w:pPr>
      <w:bookmarkStart w:id="644" w:name="_Toc15390"/>
      <w:r>
        <w:rPr>
          <w:rFonts w:hint="eastAsia" w:ascii="宋体" w:hAnsi="宋体" w:eastAsia="宋体" w:cs="宋体"/>
          <w:lang w:val="en-US" w:eastAsia="zh-CN"/>
        </w:rPr>
        <w:t>五</w:t>
      </w:r>
      <w:r>
        <w:rPr>
          <w:rFonts w:hint="eastAsia" w:ascii="宋体" w:hAnsi="宋体" w:eastAsia="宋体" w:cs="宋体"/>
          <w:lang w:eastAsia="zh-CN"/>
        </w:rPr>
        <w:t>、变更资料</w:t>
      </w:r>
      <w:bookmarkEnd w:id="644"/>
    </w:p>
    <w:p>
      <w:pPr>
        <w:spacing w:before="75" w:line="402" w:lineRule="auto"/>
        <w:ind w:left="1" w:hanging="1"/>
        <w:rPr>
          <w:rFonts w:hint="eastAsia" w:ascii="宋体" w:hAnsi="宋体" w:eastAsia="宋体" w:cs="宋体"/>
          <w:spacing w:val="14"/>
          <w:sz w:val="24"/>
          <w:szCs w:val="24"/>
          <w:lang w:eastAsia="zh-CN"/>
          <w14:textOutline w14:w="4358" w14:cap="sq" w14:cmpd="sng">
            <w14:solidFill>
              <w14:srgbClr w14:val="000000"/>
            </w14:solidFill>
            <w14:prstDash w14:val="solid"/>
            <w14:bevel/>
          </w14:textOutline>
        </w:rPr>
      </w:pPr>
      <w:r>
        <w:rPr>
          <w:rFonts w:hint="eastAsia" w:ascii="宋体" w:hAnsi="宋体" w:eastAsia="宋体" w:cs="宋体"/>
          <w:spacing w:val="14"/>
          <w:sz w:val="24"/>
          <w:szCs w:val="24"/>
          <w:lang w:eastAsia="zh-CN"/>
          <w14:textOutline w14:w="4358" w14:cap="sq" w14:cmpd="sng">
            <w14:solidFill>
              <w14:srgbClr w14:val="000000"/>
            </w14:solidFill>
            <w14:prstDash w14:val="solid"/>
            <w14:bevel/>
          </w14:textOutline>
        </w:rPr>
        <w:t>变更通知</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15"/>
        <w:gridCol w:w="2576"/>
        <w:gridCol w:w="1426"/>
        <w:gridCol w:w="1711"/>
        <w:gridCol w:w="19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8" w:hRule="atLeast"/>
        </w:trPr>
        <w:tc>
          <w:tcPr>
            <w:tcW w:w="5000" w:type="pct"/>
            <w:gridSpan w:val="5"/>
            <w:tcBorders>
              <w:top w:val="nil"/>
              <w:left w:val="nil"/>
              <w:bottom w:val="nil"/>
              <w:right w:val="nil"/>
            </w:tcBorders>
            <w:shd w:val="clear" w:color="auto" w:fill="auto"/>
            <w:vAlign w:val="top"/>
          </w:tcPr>
          <w:p>
            <w:pPr>
              <w:keepNext w:val="0"/>
              <w:keepLines w:val="0"/>
              <w:widowControl/>
              <w:suppressLineNumbers w:val="0"/>
              <w:jc w:val="center"/>
              <w:textAlignment w:val="top"/>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snapToGrid w:val="0"/>
                <w:color w:val="000000"/>
                <w:kern w:val="0"/>
                <w:sz w:val="36"/>
                <w:szCs w:val="36"/>
                <w:u w:val="none"/>
                <w:lang w:val="en-US" w:eastAsia="zh-CN" w:bidi="ar"/>
              </w:rPr>
              <w:t>天心高速公路项目施工九标段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5" w:hRule="atLeast"/>
        </w:trPr>
        <w:tc>
          <w:tcPr>
            <w:tcW w:w="5000" w:type="pct"/>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snapToGrid w:val="0"/>
                <w:color w:val="000000"/>
                <w:kern w:val="0"/>
                <w:sz w:val="32"/>
                <w:szCs w:val="32"/>
                <w:u w:val="none"/>
                <w:lang w:val="en-US" w:eastAsia="zh-CN" w:bidi="ar"/>
              </w:rPr>
              <w:t>设计变更立项审批表/变更通知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000" w:type="pct"/>
            <w:gridSpan w:val="5"/>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 xml:space="preserve">                                                            编号：TX-BGTZ-A3-004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atLeast"/>
        </w:trPr>
        <w:tc>
          <w:tcPr>
            <w:tcW w:w="1164" w:type="pct"/>
            <w:tcBorders>
              <w:top w:val="single" w:color="000000" w:sz="8"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项目名称</w:t>
            </w:r>
          </w:p>
        </w:tc>
        <w:tc>
          <w:tcPr>
            <w:tcW w:w="2012" w:type="pct"/>
            <w:gridSpan w:val="2"/>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天心高速公路项目施工九标段</w:t>
            </w:r>
          </w:p>
        </w:tc>
        <w:tc>
          <w:tcPr>
            <w:tcW w:w="860" w:type="pc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变更提出日期</w:t>
            </w:r>
          </w:p>
        </w:tc>
        <w:tc>
          <w:tcPr>
            <w:tcW w:w="962" w:type="pct"/>
            <w:tcBorders>
              <w:top w:val="single" w:color="000000" w:sz="8"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2019年2月1日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5" w:hRule="atLeast"/>
        </w:trPr>
        <w:tc>
          <w:tcPr>
            <w:tcW w:w="1164"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工程变更名称</w:t>
            </w:r>
          </w:p>
        </w:tc>
        <w:tc>
          <w:tcPr>
            <w:tcW w:w="201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default" w:ascii="宋体" w:hAnsi="宋体" w:eastAsia="宋体" w:cs="宋体"/>
                <w:i w:val="0"/>
                <w:iCs w:val="0"/>
                <w:color w:val="000000"/>
                <w:sz w:val="20"/>
                <w:szCs w:val="20"/>
                <w:u w:val="none"/>
                <w:lang w:val="en-US"/>
              </w:rPr>
              <w:t>K27+400-K27+950</w:t>
            </w:r>
            <w:r>
              <w:rPr>
                <w:rFonts w:hint="eastAsia" w:ascii="宋体" w:hAnsi="宋体" w:eastAsia="宋体" w:cs="宋体"/>
                <w:i w:val="0"/>
                <w:iCs w:val="0"/>
                <w:color w:val="000000"/>
                <w:sz w:val="20"/>
                <w:szCs w:val="20"/>
                <w:u w:val="none"/>
                <w:lang w:val="en-US" w:eastAsia="zh-CN"/>
              </w:rPr>
              <w:t>段隧道洞身开挖围岩变更</w:t>
            </w:r>
          </w:p>
        </w:tc>
        <w:tc>
          <w:tcPr>
            <w:tcW w:w="17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变更部位及桩号</w:t>
            </w:r>
          </w:p>
        </w:tc>
        <w:tc>
          <w:tcPr>
            <w:tcW w:w="19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default" w:ascii="宋体" w:hAnsi="宋体" w:eastAsia="宋体" w:cs="宋体"/>
                <w:i w:val="0"/>
                <w:iCs w:val="0"/>
                <w:color w:val="000000"/>
                <w:sz w:val="20"/>
                <w:szCs w:val="20"/>
                <w:u w:val="none"/>
                <w:lang w:val="en-US"/>
              </w:rPr>
              <w:t>K27+400-K27+950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64"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变更提出人</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源达道路建设有限公司</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监理人</w:t>
            </w:r>
          </w:p>
        </w:tc>
        <w:tc>
          <w:tcPr>
            <w:tcW w:w="1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交理咨通工程监询有限公司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trPr>
        <w:tc>
          <w:tcPr>
            <w:tcW w:w="1164"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原设计人</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天心工程项目设计院</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承包人</w:t>
            </w:r>
          </w:p>
        </w:tc>
        <w:tc>
          <w:tcPr>
            <w:tcW w:w="1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源达道路建设有限公司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164"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合同段</w:t>
            </w:r>
          </w:p>
        </w:tc>
        <w:tc>
          <w:tcPr>
            <w:tcW w:w="1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九标段</w:t>
            </w:r>
          </w:p>
        </w:tc>
        <w:tc>
          <w:tcPr>
            <w:tcW w:w="7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变更性质</w:t>
            </w:r>
          </w:p>
        </w:tc>
        <w:tc>
          <w:tcPr>
            <w:tcW w:w="182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(C)类设计变更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trPr>
        <w:tc>
          <w:tcPr>
            <w:tcW w:w="1164"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是否为抢险工程</w:t>
            </w:r>
          </w:p>
        </w:tc>
        <w:tc>
          <w:tcPr>
            <w:tcW w:w="12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否</w:t>
            </w:r>
          </w:p>
        </w:tc>
        <w:tc>
          <w:tcPr>
            <w:tcW w:w="7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变更预估金额</w:t>
            </w:r>
          </w:p>
        </w:tc>
        <w:tc>
          <w:tcPr>
            <w:tcW w:w="1823"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913950元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64" w:type="pct"/>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设计变更原因</w:t>
            </w:r>
          </w:p>
        </w:tc>
        <w:tc>
          <w:tcPr>
            <w:tcW w:w="3835" w:type="pct"/>
            <w:gridSpan w:val="4"/>
            <w:vMerge w:val="restart"/>
            <w:tcBorders>
              <w:top w:val="single" w:color="000000" w:sz="4" w:space="0"/>
              <w:left w:val="single" w:color="000000" w:sz="4" w:space="0"/>
              <w:bottom w:val="single" w:color="000000" w:sz="4" w:space="0"/>
              <w:right w:val="single" w:color="000000" w:sz="8"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□原设计错误、遗漏        ☑与原设计地勘不符        □优化原设计</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□技术标准、规范发生变化  □修改工艺技术            □合理化建议</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□改变使用功能            □增减工程量              □工期调整</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□地方政府或有关部门要求  □地质、气象等灾害        □其它</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本次设计变更原因：与原设计地勘不符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64"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835" w:type="pct"/>
            <w:gridSpan w:val="4"/>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64"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835" w:type="pct"/>
            <w:gridSpan w:val="4"/>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1164"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835" w:type="pct"/>
            <w:gridSpan w:val="4"/>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164"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835" w:type="pct"/>
            <w:gridSpan w:val="4"/>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164"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原设计概况</w:t>
            </w:r>
          </w:p>
        </w:tc>
        <w:tc>
          <w:tcPr>
            <w:tcW w:w="383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原设计地勘报告</w:t>
            </w:r>
            <w:r>
              <w:rPr>
                <w:rFonts w:hint="default" w:ascii="宋体" w:hAnsi="宋体" w:eastAsia="宋体" w:cs="宋体"/>
                <w:i w:val="0"/>
                <w:iCs w:val="0"/>
                <w:color w:val="000000"/>
                <w:sz w:val="20"/>
                <w:szCs w:val="20"/>
                <w:u w:val="none"/>
                <w:lang w:val="en-US"/>
              </w:rPr>
              <w:t>K27+400-K27+950</w:t>
            </w:r>
            <w:r>
              <w:rPr>
                <w:rFonts w:hint="eastAsia" w:ascii="宋体" w:hAnsi="宋体" w:eastAsia="宋体" w:cs="宋体"/>
                <w:i w:val="0"/>
                <w:iCs w:val="0"/>
                <w:color w:val="000000"/>
                <w:sz w:val="20"/>
                <w:szCs w:val="20"/>
                <w:u w:val="none"/>
                <w:lang w:val="en-US" w:eastAsia="zh-CN"/>
              </w:rPr>
              <w:t>段隧道</w:t>
            </w:r>
            <w:r>
              <w:rPr>
                <w:rFonts w:hint="eastAsia" w:ascii="宋体" w:hAnsi="宋体" w:eastAsia="宋体" w:cs="宋体"/>
                <w:i w:val="0"/>
                <w:iCs w:val="0"/>
                <w:color w:val="000000"/>
                <w:sz w:val="20"/>
                <w:szCs w:val="20"/>
                <w:u w:val="none"/>
                <w:lang w:eastAsia="zh-CN"/>
              </w:rPr>
              <w:t>围岩等级为四级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164"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变更方案</w:t>
            </w:r>
          </w:p>
        </w:tc>
        <w:tc>
          <w:tcPr>
            <w:tcW w:w="383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snapToGrid w:val="0"/>
                <w:color w:val="000000"/>
                <w:kern w:val="0"/>
                <w:sz w:val="20"/>
                <w:szCs w:val="20"/>
                <w:u w:val="none"/>
                <w:lang w:val="en-US" w:eastAsia="zh-CN" w:bidi="ar"/>
              </w:rPr>
              <w:t>变更隧道围岩等级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315"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设计变更主要内容</w:t>
            </w:r>
          </w:p>
        </w:tc>
        <w:tc>
          <w:tcPr>
            <w:tcW w:w="383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numPr>
                <w:ilvl w:val="0"/>
                <w:numId w:val="0"/>
              </w:numPr>
              <w:suppressLineNumbers w:val="0"/>
              <w:jc w:val="left"/>
              <w:textAlignment w:val="top"/>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现场施工过程中，实际勘测围岩稳定性较差，不符合原设计四级围岩特性，现申请进行围岩等级变更，将原设计四级围岩变更为五级围岩，洞身开挖方量增加</w:t>
            </w:r>
            <w:r>
              <w:rPr>
                <w:rFonts w:hint="eastAsia" w:ascii="宋体" w:hAnsi="宋体" w:eastAsia="宋体" w:cs="宋体"/>
                <w:i w:val="0"/>
                <w:iCs w:val="0"/>
                <w:color w:val="000000"/>
                <w:sz w:val="20"/>
                <w:szCs w:val="20"/>
                <w:u w:val="none"/>
                <w:lang w:val="en-US" w:eastAsia="zh-CN"/>
              </w:rPr>
              <w:t>4500m³</w:t>
            </w:r>
            <w:r>
              <w:rPr>
                <w:rFonts w:hint="eastAsia" w:ascii="宋体" w:hAnsi="宋体" w:eastAsia="宋体" w:cs="宋体"/>
                <w:i w:val="0"/>
                <w:iCs w:val="0"/>
                <w:color w:val="000000"/>
                <w:sz w:val="20"/>
                <w:szCs w:val="20"/>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2315"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变更依据</w:t>
            </w:r>
          </w:p>
        </w:tc>
        <w:tc>
          <w:tcPr>
            <w:tcW w:w="3835"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经核实，实际围岩情况较差，与原设计围岩等级不符。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164" w:type="pct"/>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承包人意见</w:t>
            </w:r>
          </w:p>
        </w:tc>
        <w:tc>
          <w:tcPr>
            <w:tcW w:w="3835" w:type="pct"/>
            <w:gridSpan w:val="4"/>
            <w:vMerge w:val="restart"/>
            <w:tcBorders>
              <w:top w:val="single" w:color="000000" w:sz="4" w:space="0"/>
              <w:left w:val="single" w:color="000000" w:sz="4" w:space="0"/>
              <w:bottom w:val="nil"/>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申请变更立项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164"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835" w:type="pct"/>
            <w:gridSpan w:val="4"/>
            <w:vMerge w:val="continue"/>
            <w:tcBorders>
              <w:top w:val="single" w:color="000000" w:sz="4" w:space="0"/>
              <w:left w:val="single" w:color="000000" w:sz="4" w:space="0"/>
              <w:bottom w:val="nil"/>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 w:hRule="atLeast"/>
        </w:trPr>
        <w:tc>
          <w:tcPr>
            <w:tcW w:w="1164"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95" w:type="pct"/>
            <w:tcBorders>
              <w:top w:val="nil"/>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w:t>
            </w:r>
          </w:p>
        </w:tc>
        <w:tc>
          <w:tcPr>
            <w:tcW w:w="716" w:type="pct"/>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FFFFFF"/>
                <w:sz w:val="10"/>
                <w:szCs w:val="10"/>
                <w:u w:val="none"/>
              </w:rPr>
            </w:pPr>
          </w:p>
        </w:tc>
        <w:tc>
          <w:tcPr>
            <w:tcW w:w="860" w:type="pct"/>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c>
          <w:tcPr>
            <w:tcW w:w="962" w:type="pct"/>
            <w:tcBorders>
              <w:top w:val="nil"/>
              <w:left w:val="nil"/>
              <w:bottom w:val="single" w:color="000000" w:sz="4" w:space="0"/>
              <w:right w:val="single" w:color="000000" w:sz="8"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164" w:type="pct"/>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监理单位意见</w:t>
            </w:r>
          </w:p>
        </w:tc>
        <w:tc>
          <w:tcPr>
            <w:tcW w:w="3835" w:type="pct"/>
            <w:gridSpan w:val="4"/>
            <w:vMerge w:val="restart"/>
            <w:tcBorders>
              <w:top w:val="single" w:color="000000" w:sz="4" w:space="0"/>
              <w:left w:val="single" w:color="000000" w:sz="4"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164"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835" w:type="pct"/>
            <w:gridSpan w:val="4"/>
            <w:vMerge w:val="continue"/>
            <w:tcBorders>
              <w:top w:val="single" w:color="000000" w:sz="4" w:space="0"/>
              <w:left w:val="single" w:color="000000" w:sz="4" w:space="0"/>
              <w:bottom w:val="nil"/>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 w:hRule="atLeast"/>
        </w:trPr>
        <w:tc>
          <w:tcPr>
            <w:tcW w:w="1164"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95" w:type="pct"/>
            <w:tcBorders>
              <w:top w:val="nil"/>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w:t>
            </w:r>
          </w:p>
        </w:tc>
        <w:tc>
          <w:tcPr>
            <w:tcW w:w="716" w:type="pct"/>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FFFFFF"/>
                <w:sz w:val="10"/>
                <w:szCs w:val="10"/>
                <w:u w:val="none"/>
              </w:rPr>
            </w:pPr>
          </w:p>
        </w:tc>
        <w:tc>
          <w:tcPr>
            <w:tcW w:w="860" w:type="pct"/>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c>
          <w:tcPr>
            <w:tcW w:w="962" w:type="pct"/>
            <w:tcBorders>
              <w:top w:val="nil"/>
              <w:left w:val="nil"/>
              <w:bottom w:val="single" w:color="000000" w:sz="4" w:space="0"/>
              <w:right w:val="single" w:color="000000" w:sz="8"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164" w:type="pct"/>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设计单位意见</w:t>
            </w:r>
          </w:p>
        </w:tc>
        <w:tc>
          <w:tcPr>
            <w:tcW w:w="3835" w:type="pct"/>
            <w:gridSpan w:val="4"/>
            <w:vMerge w:val="restart"/>
            <w:tcBorders>
              <w:top w:val="single" w:color="000000" w:sz="4" w:space="0"/>
              <w:left w:val="single" w:color="000000" w:sz="4" w:space="0"/>
              <w:bottom w:val="nil"/>
              <w:right w:val="single" w:color="000000" w:sz="8" w:space="0"/>
            </w:tcBorders>
            <w:shd w:val="clear" w:color="auto" w:fill="auto"/>
            <w:noWrap/>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164"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835" w:type="pct"/>
            <w:gridSpan w:val="4"/>
            <w:vMerge w:val="continue"/>
            <w:tcBorders>
              <w:top w:val="single" w:color="000000" w:sz="4" w:space="0"/>
              <w:left w:val="single" w:color="000000" w:sz="4" w:space="0"/>
              <w:bottom w:val="nil"/>
              <w:right w:val="single" w:color="000000" w:sz="8"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1164"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95" w:type="pct"/>
            <w:tcBorders>
              <w:top w:val="nil"/>
              <w:left w:val="single" w:color="000000" w:sz="4" w:space="0"/>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w:t>
            </w:r>
          </w:p>
        </w:tc>
        <w:tc>
          <w:tcPr>
            <w:tcW w:w="716" w:type="pct"/>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FFFFFF"/>
                <w:sz w:val="10"/>
                <w:szCs w:val="10"/>
                <w:u w:val="none"/>
              </w:rPr>
            </w:pPr>
          </w:p>
        </w:tc>
        <w:tc>
          <w:tcPr>
            <w:tcW w:w="860"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c>
          <w:tcPr>
            <w:tcW w:w="962" w:type="pct"/>
            <w:tcBorders>
              <w:top w:val="nil"/>
              <w:left w:val="nil"/>
              <w:bottom w:val="single" w:color="000000" w:sz="4" w:space="0"/>
              <w:right w:val="single" w:color="000000" w:sz="8"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64" w:type="pct"/>
            <w:vMerge w:val="restart"/>
            <w:tcBorders>
              <w:top w:val="single" w:color="000000" w:sz="4" w:space="0"/>
              <w:left w:val="single" w:color="000000" w:sz="8"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建设单位意见</w:t>
            </w:r>
          </w:p>
        </w:tc>
        <w:tc>
          <w:tcPr>
            <w:tcW w:w="3835" w:type="pct"/>
            <w:gridSpan w:val="4"/>
            <w:tcBorders>
              <w:top w:val="single" w:color="000000" w:sz="4" w:space="0"/>
              <w:left w:val="single" w:color="000000" w:sz="4"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trPr>
        <w:tc>
          <w:tcPr>
            <w:tcW w:w="1164" w:type="pct"/>
            <w:vMerge w:val="continue"/>
            <w:tcBorders>
              <w:top w:val="single" w:color="000000" w:sz="4" w:space="0"/>
              <w:left w:val="single" w:color="000000" w:sz="8"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95" w:type="pct"/>
            <w:tcBorders>
              <w:top w:val="nil"/>
              <w:left w:val="single" w:color="000000" w:sz="4" w:space="0"/>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w:t>
            </w:r>
          </w:p>
        </w:tc>
        <w:tc>
          <w:tcPr>
            <w:tcW w:w="716" w:type="pct"/>
            <w:tcBorders>
              <w:top w:val="nil"/>
              <w:left w:val="nil"/>
              <w:bottom w:val="single" w:color="000000" w:sz="4" w:space="0"/>
              <w:right w:val="nil"/>
            </w:tcBorders>
            <w:shd w:val="clear" w:color="auto" w:fill="auto"/>
            <w:noWrap/>
            <w:vAlign w:val="center"/>
          </w:tcPr>
          <w:p>
            <w:pPr>
              <w:rPr>
                <w:rFonts w:hint="eastAsia" w:ascii="宋体" w:hAnsi="宋体" w:eastAsia="宋体" w:cs="宋体"/>
                <w:i w:val="0"/>
                <w:iCs w:val="0"/>
                <w:color w:val="FFFFFF"/>
                <w:sz w:val="10"/>
                <w:szCs w:val="10"/>
                <w:u w:val="none"/>
              </w:rPr>
            </w:pPr>
          </w:p>
        </w:tc>
        <w:tc>
          <w:tcPr>
            <w:tcW w:w="860" w:type="pct"/>
            <w:tcBorders>
              <w:top w:val="nil"/>
              <w:left w:val="nil"/>
              <w:bottom w:val="single" w:color="000000" w:sz="4"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c>
          <w:tcPr>
            <w:tcW w:w="962" w:type="pct"/>
            <w:tcBorders>
              <w:top w:val="nil"/>
              <w:left w:val="nil"/>
              <w:bottom w:val="single" w:color="000000" w:sz="4" w:space="0"/>
              <w:right w:val="single" w:color="000000" w:sz="8"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1164" w:type="pct"/>
            <w:vMerge w:val="continue"/>
            <w:tcBorders>
              <w:top w:val="single" w:color="000000" w:sz="4" w:space="0"/>
              <w:left w:val="single" w:color="000000" w:sz="8"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3835" w:type="pct"/>
            <w:gridSpan w:val="4"/>
            <w:tcBorders>
              <w:top w:val="single" w:color="000000" w:sz="4" w:space="0"/>
              <w:left w:val="single" w:color="000000" w:sz="4" w:space="0"/>
              <w:bottom w:val="nil"/>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3" w:hRule="atLeast"/>
        </w:trPr>
        <w:tc>
          <w:tcPr>
            <w:tcW w:w="1164" w:type="pct"/>
            <w:vMerge w:val="continue"/>
            <w:tcBorders>
              <w:top w:val="single" w:color="000000" w:sz="4" w:space="0"/>
              <w:left w:val="single" w:color="000000" w:sz="8" w:space="0"/>
              <w:bottom w:val="single" w:color="000000" w:sz="8"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1295" w:type="pct"/>
            <w:tcBorders>
              <w:top w:val="nil"/>
              <w:left w:val="single" w:color="000000" w:sz="4" w:space="0"/>
              <w:bottom w:val="single" w:color="000000" w:sz="8"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w:t>
            </w:r>
          </w:p>
        </w:tc>
        <w:tc>
          <w:tcPr>
            <w:tcW w:w="716" w:type="pct"/>
            <w:tcBorders>
              <w:top w:val="nil"/>
              <w:left w:val="nil"/>
              <w:bottom w:val="single" w:color="000000" w:sz="8" w:space="0"/>
              <w:right w:val="nil"/>
            </w:tcBorders>
            <w:shd w:val="clear" w:color="auto" w:fill="auto"/>
            <w:noWrap/>
            <w:vAlign w:val="center"/>
          </w:tcPr>
          <w:p>
            <w:pPr>
              <w:rPr>
                <w:rFonts w:hint="eastAsia" w:ascii="宋体" w:hAnsi="宋体" w:eastAsia="宋体" w:cs="宋体"/>
                <w:i w:val="0"/>
                <w:iCs w:val="0"/>
                <w:color w:val="FFFFFF"/>
                <w:sz w:val="10"/>
                <w:szCs w:val="10"/>
                <w:u w:val="none"/>
              </w:rPr>
            </w:pPr>
          </w:p>
        </w:tc>
        <w:tc>
          <w:tcPr>
            <w:tcW w:w="860" w:type="pct"/>
            <w:tcBorders>
              <w:top w:val="nil"/>
              <w:left w:val="nil"/>
              <w:bottom w:val="single" w:color="000000" w:sz="8" w:space="0"/>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c>
          <w:tcPr>
            <w:tcW w:w="962" w:type="pct"/>
            <w:tcBorders>
              <w:top w:val="nil"/>
              <w:left w:val="nil"/>
              <w:bottom w:val="single" w:color="000000" w:sz="8" w:space="0"/>
              <w:right w:val="single" w:color="000000" w:sz="8" w:space="0"/>
            </w:tcBorders>
            <w:shd w:val="clear" w:color="auto" w:fill="auto"/>
            <w:noWrap/>
            <w:vAlign w:val="center"/>
          </w:tcPr>
          <w:p>
            <w:pP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5000" w:type="pct"/>
            <w:gridSpan w:val="5"/>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注：本表一式四份，各单位执一份。</w:t>
            </w:r>
          </w:p>
        </w:tc>
      </w:tr>
    </w:tbl>
    <w:p>
      <w:pPr>
        <w:rPr>
          <w:rFonts w:ascii="Arial"/>
          <w:sz w:val="21"/>
        </w:rPr>
      </w:pPr>
      <w:r>
        <w:rPr>
          <w:rFonts w:ascii="Arial"/>
          <w:sz w:val="21"/>
        </w:rPr>
        <w:br w:type="page"/>
      </w:r>
    </w:p>
    <w:p>
      <w:pPr>
        <w:spacing w:before="74" w:line="401" w:lineRule="auto"/>
        <w:ind w:right="96"/>
        <w:rPr>
          <w:rFonts w:hint="eastAsia" w:ascii="宋体" w:hAnsi="宋体" w:eastAsia="宋体" w:cs="宋体"/>
          <w:spacing w:val="14"/>
          <w:sz w:val="24"/>
          <w:szCs w:val="24"/>
          <w:lang w:eastAsia="zh-CN"/>
          <w14:textOutline w14:w="4358" w14:cap="sq" w14:cmpd="sng">
            <w14:solidFill>
              <w14:srgbClr w14:val="000000"/>
            </w14:solidFill>
            <w14:prstDash w14:val="solid"/>
            <w14:bevel/>
          </w14:textOutline>
        </w:rPr>
      </w:pPr>
      <w:r>
        <w:rPr>
          <w:rFonts w:hint="eastAsia" w:ascii="宋体" w:hAnsi="宋体" w:eastAsia="宋体" w:cs="宋体"/>
          <w:spacing w:val="14"/>
          <w:sz w:val="24"/>
          <w:szCs w:val="24"/>
          <w:lang w:eastAsia="zh-CN"/>
          <w14:textOutline w14:w="4358" w14:cap="sq" w14:cmpd="sng">
            <w14:solidFill>
              <w14:srgbClr w14:val="000000"/>
            </w14:solidFill>
            <w14:prstDash w14:val="solid"/>
            <w14:bevel/>
          </w14:textOutline>
        </w:rPr>
        <w:t>变更申请</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43"/>
        <w:gridCol w:w="3345"/>
        <w:gridCol w:w="2051"/>
        <w:gridCol w:w="26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03" w:hRule="atLeast"/>
        </w:trPr>
        <w:tc>
          <w:tcPr>
            <w:tcW w:w="5000" w:type="pct"/>
            <w:gridSpan w:val="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snapToGrid w:val="0"/>
                <w:color w:val="000000"/>
                <w:kern w:val="0"/>
                <w:sz w:val="36"/>
                <w:szCs w:val="36"/>
                <w:u w:val="none"/>
                <w:lang w:val="en-US" w:eastAsia="zh-CN" w:bidi="ar"/>
              </w:rPr>
              <w:t>天心高速公路项目施工九标段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8" w:hRule="atLeast"/>
        </w:trPr>
        <w:tc>
          <w:tcPr>
            <w:tcW w:w="5000" w:type="pct"/>
            <w:gridSpan w:val="4"/>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snapToGrid w:val="0"/>
                <w:color w:val="000000"/>
                <w:kern w:val="0"/>
                <w:sz w:val="32"/>
                <w:szCs w:val="32"/>
                <w:u w:val="none"/>
                <w:lang w:val="en-US" w:eastAsia="zh-CN" w:bidi="ar"/>
              </w:rPr>
              <w:t>工程变更申请/审批单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65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承包单位：源达道路建设有限公司</w:t>
            </w:r>
          </w:p>
        </w:tc>
        <w:tc>
          <w:tcPr>
            <w:tcW w:w="1031"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标    段：</w:t>
            </w:r>
          </w:p>
        </w:tc>
        <w:tc>
          <w:tcPr>
            <w:tcW w:w="1309"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A3合同段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659" w:type="pct"/>
            <w:gridSpan w:val="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监理单位：交理咨通工程监询有限公司</w:t>
            </w:r>
          </w:p>
        </w:tc>
        <w:tc>
          <w:tcPr>
            <w:tcW w:w="1031" w:type="pct"/>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本表编号：</w:t>
            </w:r>
          </w:p>
        </w:tc>
        <w:tc>
          <w:tcPr>
            <w:tcW w:w="1309" w:type="pct"/>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TX-BGSQ-A3-004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77" w:type="pc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工程名称</w:t>
            </w:r>
          </w:p>
        </w:tc>
        <w:tc>
          <w:tcPr>
            <w:tcW w:w="1681" w:type="pc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宋体" w:hAnsi="宋体" w:eastAsia="宋体" w:cs="宋体"/>
                <w:i w:val="0"/>
                <w:iCs w:val="0"/>
                <w:color w:val="000000"/>
                <w:sz w:val="20"/>
                <w:szCs w:val="20"/>
                <w:u w:val="none"/>
                <w:lang w:val="en-US"/>
              </w:rPr>
              <w:t>K27+400-K27+950</w:t>
            </w:r>
            <w:r>
              <w:rPr>
                <w:rFonts w:hint="eastAsia" w:ascii="宋体" w:hAnsi="宋体" w:eastAsia="宋体" w:cs="宋体"/>
                <w:i w:val="0"/>
                <w:iCs w:val="0"/>
                <w:color w:val="000000"/>
                <w:sz w:val="20"/>
                <w:szCs w:val="20"/>
                <w:u w:val="none"/>
                <w:lang w:val="en-US" w:eastAsia="zh-CN"/>
              </w:rPr>
              <w:t>段隧道洞身开挖</w:t>
            </w:r>
          </w:p>
        </w:tc>
        <w:tc>
          <w:tcPr>
            <w:tcW w:w="1031" w:type="pc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提出工程变更单位</w:t>
            </w:r>
          </w:p>
        </w:tc>
        <w:tc>
          <w:tcPr>
            <w:tcW w:w="1309" w:type="pct"/>
            <w:tcBorders>
              <w:top w:val="single" w:color="000000" w:sz="8"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源达道路建设有限公司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977"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桩    号</w:t>
            </w:r>
          </w:p>
        </w:tc>
        <w:tc>
          <w:tcPr>
            <w:tcW w:w="16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宋体" w:hAnsi="宋体" w:eastAsia="宋体" w:cs="宋体"/>
                <w:i w:val="0"/>
                <w:iCs w:val="0"/>
                <w:color w:val="000000"/>
                <w:sz w:val="20"/>
                <w:szCs w:val="20"/>
                <w:u w:val="none"/>
                <w:lang w:val="en-US"/>
              </w:rPr>
              <w:t>K27+400-K27+950</w:t>
            </w:r>
          </w:p>
        </w:tc>
        <w:tc>
          <w:tcPr>
            <w:tcW w:w="1031" w:type="pc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c>
          <w:tcPr>
            <w:tcW w:w="1309" w:type="pct"/>
            <w:tcBorders>
              <w:top w:val="single" w:color="000000" w:sz="8"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2019年2月3日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977" w:type="pct"/>
            <w:tcBorders>
              <w:top w:val="nil"/>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原设计图名称</w:t>
            </w:r>
          </w:p>
        </w:tc>
        <w:tc>
          <w:tcPr>
            <w:tcW w:w="1681" w:type="pct"/>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两阶段施工图</w:t>
            </w:r>
          </w:p>
        </w:tc>
        <w:tc>
          <w:tcPr>
            <w:tcW w:w="1031"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原设计图号</w:t>
            </w:r>
          </w:p>
        </w:tc>
        <w:tc>
          <w:tcPr>
            <w:tcW w:w="1309" w:type="pct"/>
            <w:tcBorders>
              <w:top w:val="nil"/>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第五册（1）P123-48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7"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变更设计图名称</w:t>
            </w:r>
          </w:p>
        </w:tc>
        <w:tc>
          <w:tcPr>
            <w:tcW w:w="16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设计更改通知单</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变更设计图号</w:t>
            </w:r>
          </w:p>
        </w:tc>
        <w:tc>
          <w:tcPr>
            <w:tcW w:w="1309"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TXGS-A3-004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trPr>
        <w:tc>
          <w:tcPr>
            <w:tcW w:w="977"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变更类别</w:t>
            </w:r>
          </w:p>
        </w:tc>
        <w:tc>
          <w:tcPr>
            <w:tcW w:w="16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(C)类设计变更</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费用类别</w:t>
            </w:r>
          </w:p>
        </w:tc>
        <w:tc>
          <w:tcPr>
            <w:tcW w:w="1309"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变更增减费用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977"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变更增减金额（元）</w:t>
            </w:r>
          </w:p>
        </w:tc>
        <w:tc>
          <w:tcPr>
            <w:tcW w:w="168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913950</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估计延长工期（天）</w:t>
            </w:r>
          </w:p>
        </w:tc>
        <w:tc>
          <w:tcPr>
            <w:tcW w:w="1309"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977" w:type="pct"/>
            <w:tcBorders>
              <w:top w:val="single" w:color="000000" w:sz="4" w:space="0"/>
              <w:left w:val="single" w:color="000000" w:sz="8"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工程变更理由</w:t>
            </w:r>
          </w:p>
        </w:tc>
        <w:tc>
          <w:tcPr>
            <w:tcW w:w="4022" w:type="pct"/>
            <w:gridSpan w:val="3"/>
            <w:tcBorders>
              <w:top w:val="single" w:color="000000" w:sz="4" w:space="0"/>
              <w:left w:val="single" w:color="000000" w:sz="4"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与原设计不符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977" w:type="pct"/>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工程变更内容摘要</w:t>
            </w:r>
          </w:p>
        </w:tc>
        <w:tc>
          <w:tcPr>
            <w:tcW w:w="4022" w:type="pct"/>
            <w:gridSpan w:val="3"/>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现场施工过程中，实际勘测围岩稳定性较差，不符合原设计四级围岩特性，现申请进行围岩等级变更，将原设计四级围岩变更为五级围岩</w:t>
            </w:r>
            <w:r>
              <w:rPr>
                <w:rFonts w:hint="eastAsia" w:ascii="宋体" w:hAnsi="宋体" w:eastAsia="宋体" w:cs="宋体"/>
                <w:i w:val="0"/>
                <w:iCs w:val="0"/>
                <w:color w:val="000000"/>
                <w:sz w:val="20"/>
                <w:szCs w:val="20"/>
                <w:u w:val="none"/>
                <w:lang w:eastAsia="zh-CN"/>
              </w:rPr>
              <w:t>，洞身开挖方量增加</w:t>
            </w:r>
            <w:r>
              <w:rPr>
                <w:rFonts w:hint="eastAsia" w:ascii="宋体" w:hAnsi="宋体" w:eastAsia="宋体" w:cs="宋体"/>
                <w:i w:val="0"/>
                <w:iCs w:val="0"/>
                <w:color w:val="000000"/>
                <w:sz w:val="20"/>
                <w:szCs w:val="20"/>
                <w:u w:val="none"/>
                <w:lang w:val="en-US" w:eastAsia="zh-CN"/>
              </w:rPr>
              <w:t>4500m³</w:t>
            </w:r>
            <w:r>
              <w:rPr>
                <w:rFonts w:hint="eastAsia" w:ascii="宋体" w:hAnsi="宋体" w:eastAsia="宋体" w:cs="宋体"/>
                <w:i w:val="0"/>
                <w:iCs w:val="0"/>
                <w:color w:val="000000"/>
                <w:sz w:val="20"/>
                <w:szCs w:val="20"/>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977" w:type="pct"/>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变更理由详情</w:t>
            </w:r>
          </w:p>
        </w:tc>
        <w:tc>
          <w:tcPr>
            <w:tcW w:w="4022" w:type="pct"/>
            <w:gridSpan w:val="3"/>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eastAsia="zh-CN"/>
              </w:rPr>
              <w:t>现场施工过程中，实际勘测围岩稳定性较差，不符合原设计四级围岩特性，现申请进行围岩等级变更，将原设计四级围岩变更为五级围岩。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977" w:type="pct"/>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变更数量</w:t>
            </w:r>
          </w:p>
        </w:tc>
        <w:tc>
          <w:tcPr>
            <w:tcW w:w="4022" w:type="pct"/>
            <w:gridSpan w:val="3"/>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eastAsia="zh-CN"/>
              </w:rPr>
              <w:t>洞身开挖方量增加</w:t>
            </w:r>
            <w:r>
              <w:rPr>
                <w:rFonts w:hint="eastAsia" w:ascii="宋体" w:hAnsi="宋体" w:eastAsia="宋体" w:cs="宋体"/>
                <w:i w:val="0"/>
                <w:iCs w:val="0"/>
                <w:color w:val="000000"/>
                <w:sz w:val="20"/>
                <w:szCs w:val="20"/>
                <w:u w:val="none"/>
                <w:lang w:val="en-US" w:eastAsia="zh-CN"/>
              </w:rPr>
              <w:t>4500m³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trPr>
        <w:tc>
          <w:tcPr>
            <w:tcW w:w="977" w:type="pct"/>
            <w:tcBorders>
              <w:top w:val="single" w:color="auto" w:sz="4" w:space="0"/>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变更单价</w:t>
            </w:r>
          </w:p>
        </w:tc>
        <w:tc>
          <w:tcPr>
            <w:tcW w:w="4022" w:type="pct"/>
            <w:gridSpan w:val="3"/>
            <w:tcBorders>
              <w:top w:val="single" w:color="auto" w:sz="4" w:space="0"/>
              <w:left w:val="single" w:color="000000"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工程量变更增加幅度超过15%，调价系数为0.9，超过15%的部分按照变更后单价结算；工程量变更减少幅度超过15%，调价系数为1.1，全部按照变更后单价进行结算。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5" w:hRule="atLeast"/>
        </w:trPr>
        <w:tc>
          <w:tcPr>
            <w:tcW w:w="977" w:type="pct"/>
            <w:tcBorders>
              <w:top w:val="single" w:color="auto" w:sz="4" w:space="0"/>
              <w:left w:val="single" w:color="000000" w:sz="8" w:space="0"/>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承包人:</w:t>
            </w:r>
          </w:p>
        </w:tc>
        <w:tc>
          <w:tcPr>
            <w:tcW w:w="4022" w:type="pct"/>
            <w:gridSpan w:val="3"/>
            <w:tcBorders>
              <w:top w:val="single" w:color="auto" w:sz="4" w:space="0"/>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上报变更费用申请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77" w:type="pct"/>
            <w:tcBorders>
              <w:top w:val="nil"/>
              <w:left w:val="single" w:color="000000" w:sz="8" w:space="0"/>
              <w:bottom w:val="single" w:color="000000" w:sz="4" w:space="0"/>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1681" w:type="pct"/>
            <w:tcBorders>
              <w:top w:val="nil"/>
              <w:left w:val="nil"/>
              <w:bottom w:val="single" w:color="000000" w:sz="4" w:space="0"/>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签字人：</w:t>
            </w:r>
          </w:p>
        </w:tc>
        <w:tc>
          <w:tcPr>
            <w:tcW w:w="1031" w:type="pct"/>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FFFFFF"/>
                <w:sz w:val="20"/>
                <w:szCs w:val="20"/>
                <w:u w:val="none"/>
              </w:rPr>
            </w:pPr>
          </w:p>
        </w:tc>
        <w:tc>
          <w:tcPr>
            <w:tcW w:w="1309" w:type="pct"/>
            <w:tcBorders>
              <w:top w:val="nil"/>
              <w:left w:val="nil"/>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5" w:hRule="atLeast"/>
        </w:trPr>
        <w:tc>
          <w:tcPr>
            <w:tcW w:w="977" w:type="pct"/>
            <w:tcBorders>
              <w:top w:val="single" w:color="000000" w:sz="4" w:space="0"/>
              <w:left w:val="single" w:color="000000" w:sz="8" w:space="0"/>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监理单位：</w:t>
            </w:r>
          </w:p>
        </w:tc>
        <w:tc>
          <w:tcPr>
            <w:tcW w:w="4022" w:type="pct"/>
            <w:gridSpan w:val="3"/>
            <w:tcBorders>
              <w:top w:val="single" w:color="000000" w:sz="4" w:space="0"/>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5" w:hRule="atLeast"/>
        </w:trPr>
        <w:tc>
          <w:tcPr>
            <w:tcW w:w="977" w:type="pct"/>
            <w:tcBorders>
              <w:top w:val="nil"/>
              <w:left w:val="single" w:color="000000" w:sz="8" w:space="0"/>
              <w:bottom w:val="single" w:color="000000" w:sz="4" w:space="0"/>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1681" w:type="pct"/>
            <w:tcBorders>
              <w:top w:val="nil"/>
              <w:left w:val="nil"/>
              <w:bottom w:val="nil"/>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签字人：</w:t>
            </w:r>
          </w:p>
        </w:tc>
        <w:tc>
          <w:tcPr>
            <w:tcW w:w="1031" w:type="pct"/>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FFFFFF"/>
                <w:sz w:val="20"/>
                <w:szCs w:val="20"/>
                <w:u w:val="none"/>
              </w:rPr>
            </w:pPr>
          </w:p>
        </w:tc>
        <w:tc>
          <w:tcPr>
            <w:tcW w:w="1309" w:type="pct"/>
            <w:tcBorders>
              <w:top w:val="nil"/>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977" w:type="pct"/>
            <w:tcBorders>
              <w:top w:val="single" w:color="000000" w:sz="4" w:space="0"/>
              <w:left w:val="single" w:color="000000" w:sz="8" w:space="0"/>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设计单位:</w:t>
            </w:r>
          </w:p>
        </w:tc>
        <w:tc>
          <w:tcPr>
            <w:tcW w:w="4022" w:type="pct"/>
            <w:gridSpan w:val="3"/>
            <w:tcBorders>
              <w:top w:val="single" w:color="000000" w:sz="4" w:space="0"/>
              <w:left w:val="nil"/>
              <w:bottom w:val="nil"/>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977" w:type="pct"/>
            <w:tcBorders>
              <w:top w:val="nil"/>
              <w:left w:val="single" w:color="000000" w:sz="8" w:space="0"/>
              <w:bottom w:val="single" w:color="000000" w:sz="4" w:space="0"/>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1681" w:type="pct"/>
            <w:tcBorders>
              <w:top w:val="nil"/>
              <w:left w:val="nil"/>
              <w:bottom w:val="single" w:color="000000" w:sz="4" w:space="0"/>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签字人：</w:t>
            </w:r>
          </w:p>
        </w:tc>
        <w:tc>
          <w:tcPr>
            <w:tcW w:w="1031" w:type="pct"/>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FFFFFF"/>
                <w:sz w:val="20"/>
                <w:szCs w:val="20"/>
                <w:u w:val="none"/>
              </w:rPr>
            </w:pPr>
          </w:p>
        </w:tc>
        <w:tc>
          <w:tcPr>
            <w:tcW w:w="1309" w:type="pct"/>
            <w:tcBorders>
              <w:top w:val="nil"/>
              <w:left w:val="nil"/>
              <w:bottom w:val="single" w:color="000000"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977" w:type="pct"/>
            <w:tcBorders>
              <w:top w:val="single" w:color="000000" w:sz="4" w:space="0"/>
              <w:left w:val="single" w:color="000000" w:sz="8" w:space="0"/>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项目办工程处：</w:t>
            </w:r>
          </w:p>
        </w:tc>
        <w:tc>
          <w:tcPr>
            <w:tcW w:w="4022" w:type="pct"/>
            <w:gridSpan w:val="3"/>
            <w:tcBorders>
              <w:top w:val="single" w:color="000000" w:sz="4" w:space="0"/>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977" w:type="pct"/>
            <w:tcBorders>
              <w:top w:val="nil"/>
              <w:left w:val="single" w:color="000000" w:sz="8" w:space="0"/>
              <w:bottom w:val="single" w:color="000000" w:sz="4" w:space="0"/>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1681" w:type="pct"/>
            <w:tcBorders>
              <w:top w:val="nil"/>
              <w:left w:val="nil"/>
              <w:bottom w:val="nil"/>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签字人：</w:t>
            </w:r>
          </w:p>
        </w:tc>
        <w:tc>
          <w:tcPr>
            <w:tcW w:w="1031" w:type="pct"/>
            <w:tcBorders>
              <w:top w:val="nil"/>
              <w:left w:val="nil"/>
              <w:bottom w:val="single" w:color="000000" w:sz="4" w:space="0"/>
              <w:right w:val="nil"/>
            </w:tcBorders>
            <w:shd w:val="clear" w:color="auto" w:fill="auto"/>
            <w:vAlign w:val="center"/>
          </w:tcPr>
          <w:p>
            <w:pPr>
              <w:rPr>
                <w:rFonts w:hint="eastAsia" w:ascii="宋体" w:hAnsi="宋体" w:eastAsia="宋体" w:cs="宋体"/>
                <w:i w:val="0"/>
                <w:iCs w:val="0"/>
                <w:color w:val="FFFFFF"/>
                <w:sz w:val="20"/>
                <w:szCs w:val="20"/>
                <w:u w:val="none"/>
              </w:rPr>
            </w:pPr>
          </w:p>
        </w:tc>
        <w:tc>
          <w:tcPr>
            <w:tcW w:w="1309" w:type="pct"/>
            <w:tcBorders>
              <w:top w:val="nil"/>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3" w:hRule="atLeast"/>
        </w:trPr>
        <w:tc>
          <w:tcPr>
            <w:tcW w:w="977" w:type="pct"/>
            <w:tcBorders>
              <w:top w:val="single" w:color="000000" w:sz="4" w:space="0"/>
              <w:left w:val="single" w:color="000000" w:sz="8" w:space="0"/>
              <w:bottom w:val="nil"/>
              <w:right w:val="nil"/>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项目办领导：</w:t>
            </w:r>
          </w:p>
        </w:tc>
        <w:tc>
          <w:tcPr>
            <w:tcW w:w="4022" w:type="pct"/>
            <w:gridSpan w:val="3"/>
            <w:tcBorders>
              <w:top w:val="single" w:color="000000" w:sz="4" w:space="0"/>
              <w:left w:val="nil"/>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5" w:hRule="atLeast"/>
        </w:trPr>
        <w:tc>
          <w:tcPr>
            <w:tcW w:w="977" w:type="pct"/>
            <w:tcBorders>
              <w:top w:val="nil"/>
              <w:left w:val="single" w:color="000000" w:sz="8" w:space="0"/>
              <w:bottom w:val="single" w:color="000000" w:sz="8" w:space="0"/>
              <w:right w:val="nil"/>
            </w:tcBorders>
            <w:shd w:val="clear" w:color="auto" w:fill="auto"/>
            <w:vAlign w:val="center"/>
          </w:tcPr>
          <w:p>
            <w:pPr>
              <w:rPr>
                <w:rFonts w:hint="eastAsia" w:ascii="宋体" w:hAnsi="宋体" w:eastAsia="宋体" w:cs="宋体"/>
                <w:i w:val="0"/>
                <w:iCs w:val="0"/>
                <w:color w:val="000000"/>
                <w:sz w:val="20"/>
                <w:szCs w:val="20"/>
                <w:u w:val="none"/>
              </w:rPr>
            </w:pPr>
          </w:p>
        </w:tc>
        <w:tc>
          <w:tcPr>
            <w:tcW w:w="1681" w:type="pct"/>
            <w:tcBorders>
              <w:top w:val="nil"/>
              <w:left w:val="nil"/>
              <w:bottom w:val="single" w:color="000000" w:sz="8" w:space="0"/>
              <w:right w:val="nil"/>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签字人：</w:t>
            </w:r>
          </w:p>
        </w:tc>
        <w:tc>
          <w:tcPr>
            <w:tcW w:w="1031" w:type="pct"/>
            <w:tcBorders>
              <w:top w:val="nil"/>
              <w:left w:val="nil"/>
              <w:bottom w:val="single" w:color="000000" w:sz="8" w:space="0"/>
              <w:right w:val="nil"/>
            </w:tcBorders>
            <w:shd w:val="clear" w:color="auto" w:fill="auto"/>
            <w:vAlign w:val="center"/>
          </w:tcPr>
          <w:p>
            <w:pPr>
              <w:rPr>
                <w:rFonts w:hint="eastAsia" w:ascii="宋体" w:hAnsi="宋体" w:eastAsia="宋体" w:cs="宋体"/>
                <w:i w:val="0"/>
                <w:iCs w:val="0"/>
                <w:color w:val="FFFFFF"/>
                <w:sz w:val="20"/>
                <w:szCs w:val="20"/>
                <w:u w:val="none"/>
              </w:rPr>
            </w:pPr>
          </w:p>
        </w:tc>
        <w:tc>
          <w:tcPr>
            <w:tcW w:w="1309" w:type="pct"/>
            <w:tcBorders>
              <w:top w:val="nil"/>
              <w:left w:val="nil"/>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r>
    </w:tbl>
    <w:p>
      <w:pPr>
        <w:rPr>
          <w:rFonts w:ascii="Arial"/>
          <w:sz w:val="21"/>
        </w:rPr>
      </w:pPr>
      <w:r>
        <w:rPr>
          <w:rFonts w:ascii="Arial"/>
          <w:sz w:val="21"/>
        </w:rPr>
        <w:br w:type="page"/>
      </w:r>
    </w:p>
    <w:p>
      <w:pPr>
        <w:spacing w:before="75" w:line="398" w:lineRule="auto"/>
        <w:ind w:left="3" w:right="99" w:hanging="3"/>
        <w:rPr>
          <w:rFonts w:ascii="宋体" w:hAnsi="宋体" w:eastAsia="宋体" w:cs="宋体"/>
          <w:spacing w:val="7"/>
          <w:sz w:val="23"/>
          <w:szCs w:val="23"/>
        </w:rPr>
      </w:pPr>
      <w:r>
        <w:rPr>
          <w:rFonts w:hint="eastAsia" w:ascii="宋体" w:hAnsi="宋体" w:eastAsia="宋体" w:cs="宋体"/>
          <w:spacing w:val="14"/>
          <w:sz w:val="24"/>
          <w:szCs w:val="24"/>
          <w:lang w:eastAsia="zh-CN"/>
          <w14:textOutline w14:w="4358" w14:cap="sq" w14:cmpd="sng">
            <w14:solidFill>
              <w14:srgbClr w14:val="000000"/>
            </w14:solidFill>
            <w14:prstDash w14:val="solid"/>
            <w14:bevel/>
          </w14:textOutline>
        </w:rPr>
        <w:t>变更令</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43"/>
        <w:gridCol w:w="2808"/>
        <w:gridCol w:w="1993"/>
        <w:gridCol w:w="1098"/>
        <w:gridCol w:w="1098"/>
        <w:gridCol w:w="140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5" w:hRule="atLeast"/>
        </w:trPr>
        <w:tc>
          <w:tcPr>
            <w:tcW w:w="5000" w:type="pct"/>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snapToGrid w:val="0"/>
                <w:color w:val="000000"/>
                <w:kern w:val="0"/>
                <w:sz w:val="36"/>
                <w:szCs w:val="36"/>
                <w:u w:val="none"/>
                <w:lang w:val="en-US" w:eastAsia="zh-CN" w:bidi="ar"/>
              </w:rPr>
              <w:t>天心高速公路项目施工九标段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5000" w:type="pct"/>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snapToGrid w:val="0"/>
                <w:color w:val="000000"/>
                <w:kern w:val="0"/>
                <w:sz w:val="32"/>
                <w:szCs w:val="32"/>
                <w:u w:val="none"/>
                <w:lang w:val="en-US" w:eastAsia="zh-CN" w:bidi="ar"/>
              </w:rPr>
              <w:t>工程变更令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3190" w:type="pct"/>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承包单位：源达道路建设有限公司</w:t>
            </w:r>
          </w:p>
        </w:tc>
        <w:tc>
          <w:tcPr>
            <w:tcW w:w="1809" w:type="pct"/>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合 同 段：A3标段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190" w:type="pct"/>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监理单位：交理咨通工程监询有限公司</w:t>
            </w:r>
          </w:p>
        </w:tc>
        <w:tc>
          <w:tcPr>
            <w:tcW w:w="1809" w:type="pct"/>
            <w:gridSpan w:val="3"/>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变更令号：TX-BGL-A3-004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工程名称</w:t>
            </w:r>
          </w:p>
        </w:tc>
        <w:tc>
          <w:tcPr>
            <w:tcW w:w="1412" w:type="pc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宋体" w:hAnsi="宋体" w:eastAsia="宋体" w:cs="宋体"/>
                <w:i w:val="0"/>
                <w:iCs w:val="0"/>
                <w:color w:val="000000"/>
                <w:sz w:val="20"/>
                <w:szCs w:val="20"/>
                <w:u w:val="none"/>
                <w:lang w:val="en-US"/>
              </w:rPr>
              <w:t>K27+400-K27+950</w:t>
            </w:r>
            <w:r>
              <w:rPr>
                <w:rFonts w:hint="eastAsia" w:ascii="宋体" w:hAnsi="宋体" w:eastAsia="宋体" w:cs="宋体"/>
                <w:i w:val="0"/>
                <w:iCs w:val="0"/>
                <w:color w:val="000000"/>
                <w:sz w:val="20"/>
                <w:szCs w:val="20"/>
                <w:u w:val="none"/>
                <w:lang w:val="en-US" w:eastAsia="zh-CN"/>
              </w:rPr>
              <w:t>段隧道洞身开挖</w:t>
            </w:r>
          </w:p>
        </w:tc>
        <w:tc>
          <w:tcPr>
            <w:tcW w:w="1001" w:type="pc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c>
          <w:tcPr>
            <w:tcW w:w="1809" w:type="pct"/>
            <w:gridSpan w:val="3"/>
            <w:tcBorders>
              <w:top w:val="single" w:color="000000" w:sz="8"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2019年2月5日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桩号</w:t>
            </w:r>
          </w:p>
        </w:tc>
        <w:tc>
          <w:tcPr>
            <w:tcW w:w="1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default" w:ascii="宋体" w:hAnsi="宋体" w:eastAsia="宋体" w:cs="宋体"/>
                <w:i w:val="0"/>
                <w:iCs w:val="0"/>
                <w:color w:val="000000"/>
                <w:sz w:val="20"/>
                <w:szCs w:val="20"/>
                <w:u w:val="none"/>
                <w:lang w:val="en-US"/>
              </w:rPr>
              <w:t>K27+400-K27+950</w:t>
            </w:r>
          </w:p>
        </w:tc>
        <w:tc>
          <w:tcPr>
            <w:tcW w:w="1001" w:type="pct"/>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变更所属计量周期</w:t>
            </w:r>
          </w:p>
        </w:tc>
        <w:tc>
          <w:tcPr>
            <w:tcW w:w="1809" w:type="pct"/>
            <w:gridSpan w:val="3"/>
            <w:tcBorders>
              <w:top w:val="single" w:color="000000" w:sz="8"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第2周期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原设计图名称</w:t>
            </w:r>
          </w:p>
        </w:tc>
        <w:tc>
          <w:tcPr>
            <w:tcW w:w="141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两阶段施工图</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原设计图号</w:t>
            </w:r>
          </w:p>
        </w:tc>
        <w:tc>
          <w:tcPr>
            <w:tcW w:w="1809" w:type="pct"/>
            <w:gridSpan w:val="3"/>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第五册（1）P123-48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变更设计图名称</w:t>
            </w:r>
          </w:p>
        </w:tc>
        <w:tc>
          <w:tcPr>
            <w:tcW w:w="1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设计更改通知单</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变更设计图号</w:t>
            </w:r>
          </w:p>
        </w:tc>
        <w:tc>
          <w:tcPr>
            <w:tcW w:w="1809" w:type="pct"/>
            <w:gridSpan w:val="3"/>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TXGS-A3-004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变更类别</w:t>
            </w:r>
          </w:p>
        </w:tc>
        <w:tc>
          <w:tcPr>
            <w:tcW w:w="1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(C)类设计变更</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变更性质</w:t>
            </w:r>
          </w:p>
        </w:tc>
        <w:tc>
          <w:tcPr>
            <w:tcW w:w="1809" w:type="pct"/>
            <w:gridSpan w:val="3"/>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lang w:eastAsia="zh-CN"/>
              </w:rPr>
            </w:pPr>
            <w:r>
              <w:rPr>
                <w:rFonts w:hint="eastAsia" w:ascii="宋体" w:hAnsi="宋体" w:eastAsia="宋体" w:cs="宋体"/>
                <w:i w:val="0"/>
                <w:iCs w:val="0"/>
                <w:color w:val="000000"/>
                <w:sz w:val="20"/>
                <w:szCs w:val="20"/>
                <w:u w:val="none"/>
                <w:lang w:eastAsia="zh-CN"/>
              </w:rPr>
              <w:t>设计变更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工程造价增减额（元）</w:t>
            </w:r>
          </w:p>
        </w:tc>
        <w:tc>
          <w:tcPr>
            <w:tcW w:w="14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913950</w:t>
            </w:r>
          </w:p>
        </w:tc>
        <w:tc>
          <w:tcPr>
            <w:tcW w:w="100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估计延长工期</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（天）</w:t>
            </w:r>
          </w:p>
        </w:tc>
        <w:tc>
          <w:tcPr>
            <w:tcW w:w="1809" w:type="pct"/>
            <w:gridSpan w:val="3"/>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9" w:hRule="atLeast"/>
        </w:trPr>
        <w:tc>
          <w:tcPr>
            <w:tcW w:w="776" w:type="pct"/>
            <w:vMerge w:val="restart"/>
            <w:tcBorders>
              <w:top w:val="single" w:color="000000" w:sz="4" w:space="0"/>
              <w:left w:val="single" w:color="000000" w:sz="8"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变更内容摘要</w:t>
            </w:r>
          </w:p>
        </w:tc>
        <w:tc>
          <w:tcPr>
            <w:tcW w:w="4223" w:type="pct"/>
            <w:gridSpan w:val="5"/>
            <w:vMerge w:val="restar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现场施工过程中，实际勘测围岩稳定性较差，不符合原设计四级围岩特性，现申请进行围岩等级变更，将原设计四级围岩变更为五级围岩</w:t>
            </w:r>
            <w:r>
              <w:rPr>
                <w:rFonts w:hint="eastAsia" w:ascii="宋体" w:hAnsi="宋体" w:eastAsia="宋体" w:cs="宋体"/>
                <w:i w:val="0"/>
                <w:iCs w:val="0"/>
                <w:color w:val="000000"/>
                <w:sz w:val="20"/>
                <w:szCs w:val="20"/>
                <w:u w:val="none"/>
                <w:lang w:eastAsia="zh-CN"/>
              </w:rPr>
              <w:t>，洞身开挖方量增加</w:t>
            </w:r>
            <w:r>
              <w:rPr>
                <w:rFonts w:hint="eastAsia" w:ascii="宋体" w:hAnsi="宋体" w:eastAsia="宋体" w:cs="宋体"/>
                <w:i w:val="0"/>
                <w:iCs w:val="0"/>
                <w:color w:val="000000"/>
                <w:sz w:val="20"/>
                <w:szCs w:val="20"/>
                <w:u w:val="none"/>
                <w:lang w:val="en-US" w:eastAsia="zh-CN"/>
              </w:rPr>
              <w:t>4500m³</w:t>
            </w:r>
            <w:r>
              <w:rPr>
                <w:rFonts w:hint="eastAsia" w:ascii="宋体" w:hAnsi="宋体" w:eastAsia="宋体" w:cs="宋体"/>
                <w:i w:val="0"/>
                <w:iCs w:val="0"/>
                <w:color w:val="000000"/>
                <w:sz w:val="20"/>
                <w:szCs w:val="20"/>
                <w:u w:val="none"/>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223" w:type="pct"/>
            <w:gridSpan w:val="5"/>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223" w:type="pct"/>
            <w:gridSpan w:val="5"/>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223" w:type="pct"/>
            <w:gridSpan w:val="5"/>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223" w:type="pct"/>
            <w:gridSpan w:val="5"/>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223" w:type="pct"/>
            <w:gridSpan w:val="5"/>
            <w:vMerge w:val="continue"/>
            <w:tcBorders>
              <w:top w:val="single" w:color="000000" w:sz="4" w:space="0"/>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223" w:type="pct"/>
            <w:gridSpan w:val="5"/>
            <w:vMerge w:val="continue"/>
            <w:tcBorders>
              <w:top w:val="nil"/>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223" w:type="pct"/>
            <w:gridSpan w:val="5"/>
            <w:vMerge w:val="continue"/>
            <w:tcBorders>
              <w:top w:val="nil"/>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776" w:type="pct"/>
            <w:vMerge w:val="continue"/>
            <w:tcBorders>
              <w:top w:val="single" w:color="000000" w:sz="4" w:space="0"/>
              <w:left w:val="single" w:color="000000" w:sz="8"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223" w:type="pct"/>
            <w:gridSpan w:val="5"/>
            <w:vMerge w:val="continue"/>
            <w:tcBorders>
              <w:top w:val="nil"/>
              <w:left w:val="single" w:color="000000" w:sz="4" w:space="0"/>
              <w:bottom w:val="single" w:color="000000" w:sz="4" w:space="0"/>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5000" w:type="pct"/>
            <w:gridSpan w:val="6"/>
            <w:tcBorders>
              <w:top w:val="single" w:color="000000" w:sz="4" w:space="0"/>
              <w:left w:val="single" w:color="000000" w:sz="8" w:space="0"/>
              <w:bottom w:val="nil"/>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总监办签发意见：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000" w:type="pct"/>
            <w:gridSpan w:val="6"/>
            <w:vMerge w:val="restart"/>
            <w:tcBorders>
              <w:top w:val="nil"/>
              <w:left w:val="single" w:color="000000" w:sz="8" w:space="0"/>
              <w:bottom w:val="nil"/>
              <w:right w:val="single" w:color="000000" w:sz="8"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同意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000" w:type="pct"/>
            <w:gridSpan w:val="6"/>
            <w:vMerge w:val="continue"/>
            <w:tcBorders>
              <w:top w:val="nil"/>
              <w:left w:val="single" w:color="000000" w:sz="8" w:space="0"/>
              <w:bottom w:val="nil"/>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000" w:type="pct"/>
            <w:gridSpan w:val="6"/>
            <w:vMerge w:val="continue"/>
            <w:tcBorders>
              <w:top w:val="nil"/>
              <w:left w:val="single" w:color="000000" w:sz="8" w:space="0"/>
              <w:bottom w:val="nil"/>
              <w:right w:val="single" w:color="000000" w:sz="8" w:space="0"/>
            </w:tcBorders>
            <w:shd w:val="clear" w:color="auto" w:fill="auto"/>
            <w:vAlign w:val="top"/>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776" w:type="pct"/>
            <w:tcBorders>
              <w:top w:val="nil"/>
              <w:left w:val="single" w:color="000000" w:sz="8" w:space="0"/>
              <w:bottom w:val="single" w:color="000000" w:sz="8" w:space="0"/>
              <w:right w:val="nil"/>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p>
        </w:tc>
        <w:tc>
          <w:tcPr>
            <w:tcW w:w="1412" w:type="pct"/>
            <w:tcBorders>
              <w:top w:val="nil"/>
              <w:left w:val="nil"/>
              <w:bottom w:val="single" w:color="000000" w:sz="8" w:space="0"/>
              <w:right w:val="nil"/>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1001"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总监理工程师：</w:t>
            </w:r>
          </w:p>
        </w:tc>
        <w:tc>
          <w:tcPr>
            <w:tcW w:w="552" w:type="pct"/>
            <w:tcBorders>
              <w:top w:val="nil"/>
              <w:left w:val="nil"/>
              <w:bottom w:val="single" w:color="000000" w:sz="8" w:space="0"/>
              <w:right w:val="nil"/>
            </w:tcBorders>
            <w:shd w:val="clear" w:color="auto" w:fill="auto"/>
            <w:vAlign w:val="center"/>
          </w:tcPr>
          <w:p>
            <w:pPr>
              <w:jc w:val="left"/>
              <w:rPr>
                <w:rFonts w:hint="eastAsia" w:ascii="宋体" w:hAnsi="宋体" w:eastAsia="宋体" w:cs="宋体"/>
                <w:i w:val="0"/>
                <w:iCs w:val="0"/>
                <w:color w:val="FFFFFF"/>
                <w:sz w:val="20"/>
                <w:szCs w:val="20"/>
                <w:u w:val="none"/>
              </w:rPr>
            </w:pPr>
          </w:p>
        </w:tc>
        <w:tc>
          <w:tcPr>
            <w:tcW w:w="552" w:type="pct"/>
            <w:tcBorders>
              <w:top w:val="nil"/>
              <w:left w:val="nil"/>
              <w:bottom w:val="single" w:color="000000" w:sz="8"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日期:</w:t>
            </w:r>
          </w:p>
        </w:tc>
        <w:tc>
          <w:tcPr>
            <w:tcW w:w="705" w:type="pct"/>
            <w:tcBorders>
              <w:top w:val="nil"/>
              <w:left w:val="nil"/>
              <w:bottom w:val="single" w:color="000000" w:sz="8" w:space="0"/>
              <w:right w:val="single" w:color="000000" w:sz="8" w:space="0"/>
            </w:tcBorders>
            <w:shd w:val="clear" w:color="auto" w:fill="auto"/>
            <w:vAlign w:val="center"/>
          </w:tcPr>
          <w:p>
            <w:pPr>
              <w:jc w:val="left"/>
              <w:rPr>
                <w:rFonts w:hint="eastAsia" w:ascii="宋体" w:hAnsi="宋体" w:eastAsia="宋体" w:cs="宋体"/>
                <w:i w:val="0"/>
                <w:iCs w:val="0"/>
                <w:color w:val="000000"/>
                <w:sz w:val="20"/>
                <w:szCs w:val="20"/>
                <w:u w:val="none"/>
              </w:rPr>
            </w:pPr>
          </w:p>
        </w:tc>
      </w:tr>
    </w:tbl>
    <w:p>
      <w:pPr>
        <w:rPr>
          <w:rFonts w:ascii="Arial"/>
          <w:sz w:val="21"/>
        </w:rPr>
        <w:sectPr>
          <w:headerReference r:id="rId10" w:type="default"/>
          <w:footerReference r:id="rId11" w:type="default"/>
          <w:pgSz w:w="11906" w:h="16839"/>
          <w:pgMar w:top="400" w:right="1088" w:bottom="1156" w:left="1089" w:header="0" w:footer="996" w:gutter="0"/>
          <w:pgNumType w:fmt="decimal"/>
          <w:cols w:space="720" w:num="1"/>
        </w:sectPr>
      </w:pPr>
      <w:r>
        <w:rPr>
          <w:rFonts w:ascii="Arial"/>
          <w:sz w:val="21"/>
        </w:rPr>
        <w:br w:type="page"/>
      </w:r>
    </w:p>
    <w:p>
      <w:pPr>
        <w:pStyle w:val="2"/>
        <w:bidi w:val="0"/>
        <w:rPr>
          <w:rFonts w:hint="eastAsia" w:ascii="宋体" w:hAnsi="宋体" w:eastAsia="宋体" w:cs="宋体"/>
          <w:lang w:eastAsia="zh-CN"/>
        </w:rPr>
      </w:pPr>
      <w:bookmarkStart w:id="645" w:name="_Toc16212"/>
      <w:r>
        <w:rPr>
          <w:rFonts w:hint="eastAsia" w:ascii="宋体" w:hAnsi="宋体" w:eastAsia="宋体" w:cs="宋体"/>
          <w:lang w:val="en-US" w:eastAsia="zh-CN"/>
        </w:rPr>
        <w:t>六、材料调差</w:t>
      </w:r>
      <w:r>
        <w:rPr>
          <w:rFonts w:hint="eastAsia" w:ascii="宋体" w:hAnsi="宋体" w:eastAsia="宋体" w:cs="宋体"/>
          <w:lang w:eastAsia="zh-CN"/>
        </w:rPr>
        <w:t>资料</w:t>
      </w:r>
    </w:p>
    <w:p>
      <w:pPr>
        <w:spacing w:before="75" w:line="402" w:lineRule="auto"/>
        <w:ind w:left="1" w:hanging="1"/>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（1）</w:t>
      </w:r>
      <w:r>
        <w:rPr>
          <w:rFonts w:hint="default" w:ascii="宋体" w:hAnsi="宋体" w:eastAsia="宋体" w:cs="宋体"/>
          <w:spacing w:val="14"/>
          <w:sz w:val="24"/>
          <w:szCs w:val="24"/>
          <w:lang w:val="en-US" w:eastAsia="zh-CN"/>
        </w:rPr>
        <w:t>发包人与承包人</w:t>
      </w:r>
      <w:r>
        <w:rPr>
          <w:rFonts w:hint="eastAsia" w:ascii="宋体" w:hAnsi="宋体" w:eastAsia="宋体" w:cs="宋体"/>
          <w:spacing w:val="14"/>
          <w:sz w:val="24"/>
          <w:szCs w:val="24"/>
          <w:lang w:val="en-US" w:eastAsia="zh-CN"/>
        </w:rPr>
        <w:t>根据协商</w:t>
      </w:r>
      <w:r>
        <w:rPr>
          <w:rFonts w:hint="default" w:ascii="宋体" w:hAnsi="宋体" w:eastAsia="宋体" w:cs="宋体"/>
          <w:spacing w:val="14"/>
          <w:sz w:val="24"/>
          <w:szCs w:val="24"/>
          <w:lang w:val="en-US" w:eastAsia="zh-CN"/>
        </w:rPr>
        <w:t>约定，采用造价信息法进行人工、材料等价格的调整。</w:t>
      </w:r>
    </w:p>
    <w:p>
      <w:pPr>
        <w:spacing w:before="75" w:line="402" w:lineRule="auto"/>
        <w:ind w:left="1" w:hanging="1"/>
        <w:rPr>
          <w:rFonts w:hint="default" w:ascii="宋体" w:hAnsi="宋体" w:eastAsia="宋体" w:cs="宋体"/>
          <w:spacing w:val="14"/>
          <w:sz w:val="24"/>
          <w:szCs w:val="24"/>
          <w:lang w:val="en-US" w:eastAsia="zh-CN"/>
        </w:rPr>
      </w:pPr>
      <w:r>
        <w:rPr>
          <w:rFonts w:hint="eastAsia"/>
        </w:rPr>
        <w:drawing>
          <wp:inline distT="0" distB="0" distL="0" distR="0">
            <wp:extent cx="3048000" cy="476250"/>
            <wp:effectExtent l="0" t="0" r="0" b="0"/>
            <wp:docPr id="51692726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927262" name="图片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048000" cy="476250"/>
                    </a:xfrm>
                    <a:prstGeom prst="rect">
                      <a:avLst/>
                    </a:prstGeom>
                    <a:noFill/>
                    <a:ln>
                      <a:noFill/>
                    </a:ln>
                  </pic:spPr>
                </pic:pic>
              </a:graphicData>
            </a:graphic>
          </wp:inline>
        </w:drawing>
      </w:r>
    </w:p>
    <w:p>
      <w:pPr>
        <w:spacing w:before="75" w:line="402" w:lineRule="auto"/>
        <w:ind w:left="1" w:hanging="1"/>
        <w:rPr>
          <w:rFonts w:hint="default" w:ascii="宋体" w:hAnsi="宋体" w:eastAsia="宋体" w:cs="宋体"/>
          <w:spacing w:val="14"/>
          <w:sz w:val="24"/>
          <w:szCs w:val="24"/>
          <w:lang w:val="en-US" w:eastAsia="zh-CN"/>
        </w:rPr>
      </w:pPr>
      <w:r>
        <w:rPr>
          <w:rFonts w:hint="default" w:ascii="宋体" w:hAnsi="宋体" w:eastAsia="宋体" w:cs="宋体"/>
          <w:spacing w:val="14"/>
          <w:sz w:val="24"/>
          <w:szCs w:val="24"/>
          <w:lang w:val="en-US" w:eastAsia="zh-CN"/>
        </w:rPr>
        <w:t>公式中：</w:t>
      </w:r>
    </w:p>
    <w:p>
      <w:pPr>
        <w:spacing w:before="75" w:line="402" w:lineRule="auto"/>
        <w:ind w:left="1" w:hanging="1"/>
        <w:rPr>
          <w:rFonts w:hint="default" w:ascii="宋体" w:hAnsi="宋体" w:eastAsia="宋体" w:cs="宋体"/>
          <w:spacing w:val="14"/>
          <w:sz w:val="24"/>
          <w:szCs w:val="24"/>
          <w:lang w:val="en-US" w:eastAsia="zh-CN"/>
        </w:rPr>
      </w:pPr>
      <w:r>
        <w:rPr>
          <w:rFonts w:hint="default" w:ascii="宋体" w:hAnsi="宋体" w:eastAsia="宋体" w:cs="宋体"/>
          <w:spacing w:val="14"/>
          <w:sz w:val="24"/>
          <w:szCs w:val="24"/>
          <w:lang w:val="en-US" w:eastAsia="zh-CN"/>
        </w:rPr>
        <w:t>△Ct——为t种材料价差调整金额；</w:t>
      </w:r>
    </w:p>
    <w:p>
      <w:pPr>
        <w:spacing w:before="75" w:line="402" w:lineRule="auto"/>
        <w:ind w:left="1" w:hanging="1"/>
        <w:rPr>
          <w:rFonts w:hint="default" w:ascii="宋体" w:hAnsi="宋体" w:eastAsia="宋体" w:cs="宋体"/>
          <w:spacing w:val="14"/>
          <w:sz w:val="24"/>
          <w:szCs w:val="24"/>
          <w:lang w:val="en-US" w:eastAsia="zh-CN"/>
        </w:rPr>
      </w:pPr>
      <w:r>
        <w:rPr>
          <w:rFonts w:hint="default" w:ascii="宋体" w:hAnsi="宋体" w:eastAsia="宋体" w:cs="宋体"/>
          <w:spacing w:val="14"/>
          <w:sz w:val="24"/>
          <w:szCs w:val="24"/>
          <w:lang w:val="en-US" w:eastAsia="zh-CN"/>
        </w:rPr>
        <w:t>Co——基准价，通常招标工程以投标截止前28天、非招标工程以合同签订前28天为基准日，并以当期对应工程造价信息材料价格为基准价；</w:t>
      </w:r>
    </w:p>
    <w:p>
      <w:pPr>
        <w:spacing w:before="75" w:line="402" w:lineRule="auto"/>
        <w:ind w:left="1" w:hanging="1"/>
        <w:rPr>
          <w:rFonts w:hint="default" w:ascii="宋体" w:hAnsi="宋体" w:eastAsia="宋体" w:cs="宋体"/>
          <w:spacing w:val="14"/>
          <w:sz w:val="24"/>
          <w:szCs w:val="24"/>
          <w:lang w:val="en-US" w:eastAsia="zh-CN"/>
        </w:rPr>
      </w:pPr>
      <w:r>
        <w:rPr>
          <w:rFonts w:hint="default" w:ascii="宋体" w:hAnsi="宋体" w:eastAsia="宋体" w:cs="宋体"/>
          <w:spacing w:val="14"/>
          <w:sz w:val="24"/>
          <w:szCs w:val="24"/>
          <w:lang w:val="en-US" w:eastAsia="zh-CN"/>
        </w:rPr>
        <w:t>Ca——当前调差周期所对应的材料信息价；</w:t>
      </w:r>
    </w:p>
    <w:p>
      <w:pPr>
        <w:spacing w:before="75" w:line="402" w:lineRule="auto"/>
        <w:ind w:left="1" w:hanging="1"/>
        <w:rPr>
          <w:rFonts w:hint="default" w:ascii="宋体" w:hAnsi="宋体" w:eastAsia="宋体" w:cs="宋体"/>
          <w:spacing w:val="14"/>
          <w:sz w:val="24"/>
          <w:szCs w:val="24"/>
          <w:lang w:val="en-US" w:eastAsia="zh-CN"/>
        </w:rPr>
      </w:pPr>
      <w:r>
        <w:rPr>
          <w:rFonts w:hint="default" w:ascii="宋体" w:hAnsi="宋体" w:eastAsia="宋体" w:cs="宋体"/>
          <w:spacing w:val="14"/>
          <w:sz w:val="24"/>
          <w:szCs w:val="24"/>
          <w:lang w:val="en-US" w:eastAsia="zh-CN"/>
        </w:rPr>
        <w:t>r——价格波动风险幅度值，指承包方承担的钢材、水泥、油料、地材等材料单价变化的幅度范围；</w:t>
      </w:r>
    </w:p>
    <w:p>
      <w:pPr>
        <w:spacing w:before="75" w:line="402" w:lineRule="auto"/>
        <w:ind w:left="1" w:hanging="1"/>
        <w:rPr>
          <w:rFonts w:hint="default" w:ascii="宋体" w:hAnsi="宋体" w:eastAsia="宋体" w:cs="宋体"/>
          <w:spacing w:val="14"/>
          <w:sz w:val="24"/>
          <w:szCs w:val="24"/>
          <w:lang w:val="en-US" w:eastAsia="zh-CN"/>
        </w:rPr>
      </w:pPr>
      <w:r>
        <w:rPr>
          <w:rFonts w:hint="default" w:ascii="宋体" w:hAnsi="宋体" w:eastAsia="宋体" w:cs="宋体"/>
          <w:spacing w:val="14"/>
          <w:sz w:val="24"/>
          <w:szCs w:val="24"/>
          <w:lang w:val="en-US" w:eastAsia="zh-CN"/>
        </w:rPr>
        <w:t>Vt——当前调差周期应进行价格调整的材料数量，以承包方当月计量工程量为基础，钢材调差量乘以预算定额消耗系数；水泥、地材、沥青等乘以施工配合比消耗系数；油料按投标报价相关报表数据进行调整。</w:t>
      </w:r>
    </w:p>
    <w:p>
      <w:pPr>
        <w:spacing w:before="75" w:line="402" w:lineRule="auto"/>
        <w:ind w:left="1" w:hanging="1"/>
        <w:rPr>
          <w:rFonts w:hint="default" w:ascii="宋体" w:hAnsi="宋体" w:eastAsia="宋体" w:cs="宋体"/>
          <w:spacing w:val="14"/>
          <w:sz w:val="24"/>
          <w:szCs w:val="24"/>
          <w:lang w:val="en-US" w:eastAsia="zh-CN"/>
        </w:rPr>
      </w:pPr>
      <w:r>
        <w:rPr>
          <w:rFonts w:hint="default" w:ascii="宋体" w:hAnsi="宋体" w:eastAsia="宋体" w:cs="宋体"/>
          <w:spacing w:val="14"/>
          <w:sz w:val="24"/>
          <w:szCs w:val="24"/>
          <w:lang w:val="en-US" w:eastAsia="zh-CN"/>
        </w:rPr>
        <w:t>价格波动风险幅度值，发、承包双方约定</w:t>
      </w:r>
      <w:r>
        <w:rPr>
          <w:rFonts w:hint="eastAsia" w:ascii="宋体" w:hAnsi="宋体" w:eastAsia="宋体" w:cs="宋体"/>
          <w:spacing w:val="14"/>
          <w:sz w:val="24"/>
          <w:szCs w:val="24"/>
          <w:lang w:val="en-US" w:eastAsia="zh-CN"/>
        </w:rPr>
        <w:t>：</w:t>
      </w:r>
      <w:r>
        <w:rPr>
          <w:rFonts w:hint="default" w:ascii="宋体" w:hAnsi="宋体" w:eastAsia="宋体" w:cs="宋体"/>
          <w:spacing w:val="14"/>
          <w:sz w:val="24"/>
          <w:szCs w:val="24"/>
          <w:lang w:val="en-US" w:eastAsia="zh-CN"/>
        </w:rPr>
        <w:t>钢材，r=</w:t>
      </w:r>
      <w:r>
        <w:rPr>
          <w:rFonts w:hint="eastAsia" w:ascii="宋体" w:hAnsi="宋体" w:eastAsia="宋体" w:cs="宋体"/>
          <w:spacing w:val="14"/>
          <w:sz w:val="24"/>
          <w:szCs w:val="24"/>
          <w:lang w:val="en-US" w:eastAsia="zh-CN"/>
        </w:rPr>
        <w:t>4</w:t>
      </w:r>
      <w:r>
        <w:rPr>
          <w:rFonts w:hint="default" w:ascii="宋体" w:hAnsi="宋体" w:eastAsia="宋体" w:cs="宋体"/>
          <w:spacing w:val="14"/>
          <w:sz w:val="24"/>
          <w:szCs w:val="24"/>
          <w:lang w:val="en-US" w:eastAsia="zh-CN"/>
        </w:rPr>
        <w:t>；水泥、半成品（含成品）、燃油，r=</w:t>
      </w:r>
      <w:r>
        <w:rPr>
          <w:rFonts w:hint="eastAsia" w:ascii="宋体" w:hAnsi="宋体" w:eastAsia="宋体" w:cs="宋体"/>
          <w:spacing w:val="14"/>
          <w:sz w:val="24"/>
          <w:szCs w:val="24"/>
          <w:lang w:val="en-US" w:eastAsia="zh-CN"/>
        </w:rPr>
        <w:t>7</w:t>
      </w:r>
      <w:r>
        <w:rPr>
          <w:rFonts w:hint="default" w:ascii="宋体" w:hAnsi="宋体" w:eastAsia="宋体" w:cs="宋体"/>
          <w:spacing w:val="14"/>
          <w:sz w:val="24"/>
          <w:szCs w:val="24"/>
          <w:lang w:val="en-US" w:eastAsia="zh-CN"/>
        </w:rPr>
        <w:t>；地材，r=</w:t>
      </w:r>
      <w:r>
        <w:rPr>
          <w:rFonts w:hint="eastAsia" w:ascii="宋体" w:hAnsi="宋体" w:eastAsia="宋体" w:cs="宋体"/>
          <w:spacing w:val="14"/>
          <w:sz w:val="24"/>
          <w:szCs w:val="24"/>
          <w:lang w:val="en-US" w:eastAsia="zh-CN"/>
        </w:rPr>
        <w:t>9</w:t>
      </w:r>
      <w:r>
        <w:rPr>
          <w:rFonts w:hint="default" w:ascii="宋体" w:hAnsi="宋体" w:eastAsia="宋体" w:cs="宋体"/>
          <w:spacing w:val="14"/>
          <w:sz w:val="24"/>
          <w:szCs w:val="24"/>
          <w:lang w:val="en-US" w:eastAsia="zh-CN"/>
        </w:rPr>
        <w:t>。</w:t>
      </w:r>
    </w:p>
    <w:p>
      <w:pPr>
        <w:spacing w:before="75" w:line="402" w:lineRule="auto"/>
        <w:rPr>
          <w:rFonts w:ascii="Arial"/>
          <w:sz w:val="21"/>
        </w:rPr>
        <w:sectPr>
          <w:headerReference r:id="rId12" w:type="default"/>
          <w:footerReference r:id="rId13" w:type="default"/>
          <w:pgSz w:w="11906" w:h="16839"/>
          <w:pgMar w:top="400" w:right="1088" w:bottom="1156" w:left="1089" w:header="0" w:footer="996" w:gutter="0"/>
          <w:pgNumType w:fmt="decimal"/>
          <w:cols w:space="720" w:num="1"/>
        </w:sectPr>
      </w:pPr>
    </w:p>
    <w:p>
      <w:pPr>
        <w:spacing w:before="75" w:line="402" w:lineRule="auto"/>
        <w:ind w:left="1" w:hanging="1"/>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（2）第二周期调差清单材料消耗量表</w:t>
      </w:r>
      <w:r>
        <w:rPr>
          <w:rFonts w:hint="default" w:ascii="宋体" w:hAnsi="宋体" w:eastAsia="宋体" w:cs="宋体"/>
          <w:spacing w:val="14"/>
          <w:sz w:val="24"/>
          <w:szCs w:val="24"/>
          <w:lang w:val="en-US" w:eastAsia="zh-CN"/>
        </w:rPr>
        <w:t>。</w:t>
      </w:r>
    </w:p>
    <w:tbl>
      <w:tblPr>
        <w:tblStyle w:val="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96"/>
        <w:gridCol w:w="5189"/>
        <w:gridCol w:w="1113"/>
        <w:gridCol w:w="1438"/>
        <w:gridCol w:w="1463"/>
        <w:gridCol w:w="1596"/>
        <w:gridCol w:w="1683"/>
        <w:gridCol w:w="13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细目编号</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项目名称</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单位</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材料代号</w:t>
            </w:r>
          </w:p>
        </w:tc>
        <w:tc>
          <w:tcPr>
            <w:tcW w:w="4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材料名称</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材料单位</w:t>
            </w: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单位消耗量</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税率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trPr>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ascii="宋体" w:hAnsi="宋体" w:eastAsia="宋体" w:cs="宋体"/>
                <w:i w:val="0"/>
                <w:iCs w:val="0"/>
                <w:snapToGrid w:val="0"/>
                <w:color w:val="000000"/>
                <w:kern w:val="0"/>
                <w:sz w:val="20"/>
                <w:szCs w:val="20"/>
                <w:u w:val="none"/>
                <w:lang w:val="en-US" w:eastAsia="zh-CN" w:bidi="ar"/>
              </w:rPr>
              <w:t>207-2-a</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ascii="宋体" w:hAnsi="宋体" w:eastAsia="宋体" w:cs="宋体"/>
                <w:i w:val="0"/>
                <w:iCs w:val="0"/>
                <w:snapToGrid w:val="0"/>
                <w:color w:val="000000"/>
                <w:kern w:val="0"/>
                <w:sz w:val="20"/>
                <w:szCs w:val="20"/>
                <w:u w:val="none"/>
                <w:lang w:val="en-US" w:eastAsia="zh-CN" w:bidi="ar"/>
              </w:rPr>
              <w:t>浆砌片石排水沟</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m³</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001</w:t>
            </w:r>
          </w:p>
        </w:tc>
        <w:tc>
          <w:tcPr>
            <w:tcW w:w="4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cs="Arial"/>
                <w:i w:val="0"/>
                <w:iCs w:val="0"/>
                <w:color w:val="000000"/>
                <w:sz w:val="21"/>
                <w:szCs w:val="21"/>
                <w:u w:val="none"/>
              </w:rPr>
              <w:t>32.5水泥</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t</w:t>
            </w: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eastAsia="宋体" w:cs="Arial"/>
                <w:i w:val="0"/>
                <w:iCs w:val="0"/>
                <w:color w:val="000000"/>
                <w:sz w:val="21"/>
                <w:szCs w:val="21"/>
                <w:u w:val="none"/>
                <w:lang w:val="en-US" w:eastAsia="zh-CN"/>
              </w:rPr>
            </w:pPr>
            <w:r>
              <w:rPr>
                <w:rFonts w:hint="default" w:eastAsia="宋体" w:cs="Arial"/>
                <w:i w:val="0"/>
                <w:iCs w:val="0"/>
                <w:color w:val="000000"/>
                <w:sz w:val="21"/>
                <w:szCs w:val="21"/>
                <w:u w:val="none"/>
                <w:lang w:val="en-US" w:eastAsia="zh-CN"/>
              </w:rPr>
              <w:t>0.103</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trPr>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ascii="宋体" w:hAnsi="宋体" w:eastAsia="宋体" w:cs="宋体"/>
                <w:i w:val="0"/>
                <w:iCs w:val="0"/>
                <w:snapToGrid w:val="0"/>
                <w:color w:val="000000"/>
                <w:kern w:val="0"/>
                <w:sz w:val="20"/>
                <w:szCs w:val="20"/>
                <w:u w:val="none"/>
                <w:lang w:val="en-US" w:eastAsia="zh-CN" w:bidi="ar"/>
              </w:rPr>
              <w:t>207-2-a</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ascii="宋体" w:hAnsi="宋体" w:eastAsia="宋体" w:cs="宋体"/>
                <w:i w:val="0"/>
                <w:iCs w:val="0"/>
                <w:snapToGrid w:val="0"/>
                <w:color w:val="000000"/>
                <w:kern w:val="0"/>
                <w:sz w:val="20"/>
                <w:szCs w:val="20"/>
                <w:u w:val="none"/>
                <w:lang w:val="en-US" w:eastAsia="zh-CN" w:bidi="ar"/>
              </w:rPr>
              <w:t>浆砌片石排水沟</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color w:val="000000"/>
                <w:sz w:val="21"/>
                <w:szCs w:val="21"/>
                <w:u w:val="none"/>
                <w:lang w:val="en-US" w:eastAsia="zh-CN"/>
              </w:rPr>
              <w:t>m³</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002</w:t>
            </w:r>
          </w:p>
        </w:tc>
        <w:tc>
          <w:tcPr>
            <w:tcW w:w="4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中粗砂</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color w:val="000000"/>
                <w:sz w:val="21"/>
                <w:szCs w:val="21"/>
                <w:u w:val="none"/>
                <w:lang w:val="en-US" w:eastAsia="zh-CN"/>
              </w:rPr>
              <w:t>m³</w:t>
            </w: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eastAsia="宋体" w:cs="Arial"/>
                <w:i w:val="0"/>
                <w:iCs w:val="0"/>
                <w:color w:val="000000"/>
                <w:sz w:val="21"/>
                <w:szCs w:val="21"/>
                <w:u w:val="none"/>
                <w:lang w:val="en-US" w:eastAsia="zh-CN"/>
              </w:rPr>
            </w:pPr>
            <w:r>
              <w:rPr>
                <w:rFonts w:hint="default" w:eastAsia="宋体" w:cs="Arial"/>
                <w:i w:val="0"/>
                <w:iCs w:val="0"/>
                <w:color w:val="000000"/>
                <w:sz w:val="21"/>
                <w:szCs w:val="21"/>
                <w:u w:val="none"/>
                <w:lang w:val="en-US" w:eastAsia="zh-CN"/>
              </w:rPr>
              <w:t>0.41</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trPr>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lang w:val="en-US"/>
              </w:rPr>
            </w:pPr>
            <w:r>
              <w:rPr>
                <w:rFonts w:hint="eastAsia" w:ascii="宋体" w:hAnsi="宋体" w:eastAsia="宋体" w:cs="宋体"/>
                <w:i w:val="0"/>
                <w:iCs w:val="0"/>
                <w:snapToGrid w:val="0"/>
                <w:color w:val="000000"/>
                <w:kern w:val="0"/>
                <w:sz w:val="20"/>
                <w:szCs w:val="20"/>
                <w:u w:val="none"/>
                <w:lang w:val="en-US" w:eastAsia="zh-CN" w:bidi="ar"/>
              </w:rPr>
              <w:t>207-2-a</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snapToGrid w:val="0"/>
                <w:color w:val="000000"/>
                <w:kern w:val="0"/>
                <w:sz w:val="20"/>
                <w:szCs w:val="20"/>
                <w:u w:val="none"/>
                <w:lang w:val="en-US" w:eastAsia="zh-CN" w:bidi="ar"/>
              </w:rPr>
              <w:t>浆砌片石排水沟</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color w:val="000000"/>
                <w:sz w:val="21"/>
                <w:szCs w:val="21"/>
                <w:u w:val="none"/>
                <w:lang w:val="en-US" w:eastAsia="zh-CN"/>
              </w:rPr>
              <w:t>m³</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003</w:t>
            </w:r>
          </w:p>
        </w:tc>
        <w:tc>
          <w:tcPr>
            <w:tcW w:w="4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片石</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color w:val="000000"/>
                <w:sz w:val="21"/>
                <w:szCs w:val="21"/>
                <w:u w:val="none"/>
                <w:lang w:val="en-US" w:eastAsia="zh-CN"/>
              </w:rPr>
              <w:t>m³</w:t>
            </w: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eastAsia="宋体" w:cs="Arial"/>
                <w:i w:val="0"/>
                <w:iCs w:val="0"/>
                <w:color w:val="000000"/>
                <w:sz w:val="21"/>
                <w:szCs w:val="21"/>
                <w:u w:val="none"/>
                <w:lang w:val="en-US" w:eastAsia="zh-CN"/>
              </w:rPr>
            </w:pPr>
            <w:r>
              <w:rPr>
                <w:rFonts w:hint="default" w:eastAsia="宋体" w:cs="Arial"/>
                <w:i w:val="0"/>
                <w:iCs w:val="0"/>
                <w:color w:val="000000"/>
                <w:sz w:val="21"/>
                <w:szCs w:val="21"/>
                <w:u w:val="none"/>
                <w:lang w:val="en-US" w:eastAsia="zh-CN"/>
              </w:rPr>
              <w:t>1.15</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ascii="宋体" w:hAnsi="宋体" w:eastAsia="宋体" w:cs="宋体"/>
                <w:i w:val="0"/>
                <w:iCs w:val="0"/>
                <w:snapToGrid w:val="0"/>
                <w:color w:val="000000"/>
                <w:kern w:val="0"/>
                <w:sz w:val="20"/>
                <w:szCs w:val="20"/>
                <w:u w:val="none"/>
                <w:lang w:val="en-US" w:eastAsia="zh-CN" w:bidi="ar"/>
              </w:rPr>
              <w:t>203-1-a</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rPr>
              <w:t>挖土方</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color w:val="000000"/>
                <w:sz w:val="21"/>
                <w:szCs w:val="21"/>
                <w:u w:val="none"/>
                <w:lang w:val="en-US" w:eastAsia="zh-CN"/>
              </w:rPr>
              <w:t>m³</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004</w:t>
            </w:r>
          </w:p>
        </w:tc>
        <w:tc>
          <w:tcPr>
            <w:tcW w:w="4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柴油</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Kg</w:t>
            </w:r>
          </w:p>
        </w:tc>
        <w:tc>
          <w:tcPr>
            <w:tcW w:w="5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1.102</w:t>
            </w:r>
          </w:p>
        </w:tc>
        <w:tc>
          <w:tcPr>
            <w:tcW w:w="42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trPr>
        <w:tc>
          <w:tcPr>
            <w:tcW w:w="5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205-1-b</w:t>
            </w:r>
          </w:p>
        </w:tc>
        <w:tc>
          <w:tcPr>
            <w:tcW w:w="16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砂垫层</w:t>
            </w:r>
          </w:p>
        </w:tc>
        <w:tc>
          <w:tcPr>
            <w:tcW w:w="3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rPr>
              <w:t>m³</w:t>
            </w: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005</w:t>
            </w:r>
          </w:p>
        </w:tc>
        <w:tc>
          <w:tcPr>
            <w:tcW w:w="4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细砂</w:t>
            </w:r>
          </w:p>
        </w:tc>
        <w:tc>
          <w:tcPr>
            <w:tcW w:w="15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color w:val="000000"/>
                <w:sz w:val="21"/>
                <w:szCs w:val="21"/>
                <w:u w:val="none"/>
                <w:lang w:val="en-US" w:eastAsia="zh-CN"/>
              </w:rPr>
              <w:t>m³</w:t>
            </w:r>
          </w:p>
        </w:tc>
        <w:tc>
          <w:tcPr>
            <w:tcW w:w="16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lang w:val="en-US"/>
              </w:rPr>
            </w:pPr>
            <w:r>
              <w:rPr>
                <w:rFonts w:hint="default" w:eastAsia="宋体" w:cs="Arial"/>
                <w:i w:val="0"/>
                <w:iCs w:val="0"/>
                <w:color w:val="000000"/>
                <w:sz w:val="21"/>
                <w:szCs w:val="21"/>
                <w:u w:val="none"/>
                <w:lang w:val="en-US" w:eastAsia="zh-CN"/>
              </w:rPr>
              <w:t>0.4</w:t>
            </w:r>
            <w:r>
              <w:rPr>
                <w:rFonts w:hint="eastAsia" w:eastAsia="宋体" w:cs="Arial"/>
                <w:i w:val="0"/>
                <w:iCs w:val="0"/>
                <w:color w:val="000000"/>
                <w:sz w:val="21"/>
                <w:szCs w:val="21"/>
                <w:u w:val="none"/>
                <w:lang w:val="en-US" w:eastAsia="zh-CN"/>
              </w:rPr>
              <w:t>3</w:t>
            </w:r>
          </w:p>
        </w:tc>
        <w:tc>
          <w:tcPr>
            <w:tcW w:w="13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eastAsia="宋体" w:cs="Arial"/>
                <w:i w:val="0"/>
                <w:iCs w:val="0"/>
                <w:snapToGrid w:val="0"/>
                <w:color w:val="000000"/>
                <w:kern w:val="0"/>
                <w:sz w:val="21"/>
                <w:szCs w:val="21"/>
                <w:u w:val="none"/>
                <w:lang w:val="en-US" w:eastAsia="zh-CN" w:bidi="ar"/>
              </w:rPr>
              <w:t>9</w:t>
            </w:r>
          </w:p>
        </w:tc>
      </w:tr>
    </w:tbl>
    <w:p>
      <w:pPr>
        <w:spacing w:before="75" w:line="402" w:lineRule="auto"/>
        <w:ind w:left="1" w:hanging="1"/>
        <w:rPr>
          <w:rFonts w:hint="default" w:ascii="宋体" w:hAnsi="宋体" w:eastAsia="宋体" w:cs="宋体"/>
          <w:spacing w:val="14"/>
          <w:sz w:val="24"/>
          <w:szCs w:val="24"/>
          <w:lang w:val="en-US" w:eastAsia="zh-CN"/>
        </w:rPr>
      </w:pPr>
      <w:r>
        <w:rPr>
          <w:rFonts w:hint="eastAsia" w:ascii="宋体" w:hAnsi="宋体" w:eastAsia="宋体" w:cs="宋体"/>
          <w:spacing w:val="14"/>
          <w:sz w:val="24"/>
          <w:szCs w:val="24"/>
          <w:lang w:val="en-US" w:eastAsia="zh-CN"/>
        </w:rPr>
        <w:t>（3）第二周期调差清单材料价格表</w:t>
      </w:r>
      <w:r>
        <w:rPr>
          <w:rFonts w:hint="default" w:ascii="宋体" w:hAnsi="宋体" w:eastAsia="宋体" w:cs="宋体"/>
          <w:spacing w:val="14"/>
          <w:sz w:val="24"/>
          <w:szCs w:val="24"/>
          <w:lang w:val="en-US" w:eastAsia="zh-CN"/>
        </w:rPr>
        <w:t>。</w:t>
      </w:r>
    </w:p>
    <w:tbl>
      <w:tblPr>
        <w:tblStyle w:val="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71"/>
        <w:gridCol w:w="1842"/>
        <w:gridCol w:w="1411"/>
        <w:gridCol w:w="2146"/>
        <w:gridCol w:w="1929"/>
        <w:gridCol w:w="1929"/>
        <w:gridCol w:w="1929"/>
        <w:gridCol w:w="263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trPr>
        <w:tc>
          <w:tcPr>
            <w:tcW w:w="5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材料代号</w:t>
            </w:r>
          </w:p>
        </w:tc>
        <w:tc>
          <w:tcPr>
            <w:tcW w:w="5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材料名称</w:t>
            </w:r>
          </w:p>
        </w:tc>
        <w:tc>
          <w:tcPr>
            <w:tcW w:w="4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1"/>
                <w:szCs w:val="21"/>
                <w:u w:val="none"/>
              </w:rPr>
            </w:pPr>
            <w:r>
              <w:rPr>
                <w:rFonts w:hint="default" w:ascii="Arial" w:hAnsi="Arial" w:eastAsia="宋体" w:cs="Arial"/>
                <w:b/>
                <w:bCs/>
                <w:i w:val="0"/>
                <w:iCs w:val="0"/>
                <w:snapToGrid w:val="0"/>
                <w:color w:val="000000"/>
                <w:kern w:val="0"/>
                <w:sz w:val="21"/>
                <w:szCs w:val="21"/>
                <w:u w:val="none"/>
                <w:lang w:val="en-US" w:eastAsia="zh-CN" w:bidi="ar"/>
              </w:rPr>
              <w:t>材料单位</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材料类别</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调差方法</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基准价</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信息价</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snapToGrid w:val="0"/>
                <w:color w:val="000000"/>
                <w:kern w:val="0"/>
                <w:sz w:val="21"/>
                <w:szCs w:val="21"/>
                <w:u w:val="none"/>
                <w:lang w:val="en-US" w:eastAsia="zh-CN" w:bidi="ar"/>
              </w:rPr>
              <w:t>现行价格指数期数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color w:val="000000"/>
                <w:sz w:val="21"/>
                <w:szCs w:val="21"/>
                <w:u w:val="none"/>
                <w:lang w:val="en-US" w:eastAsia="zh-CN"/>
              </w:rPr>
              <w:t>001</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default" w:ascii="Arial" w:hAnsi="Arial" w:cs="Arial"/>
                <w:i w:val="0"/>
                <w:iCs w:val="0"/>
                <w:color w:val="000000"/>
                <w:sz w:val="21"/>
                <w:szCs w:val="21"/>
                <w:u w:val="none"/>
              </w:rPr>
              <w:t>32.5水泥</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color w:val="000000"/>
                <w:sz w:val="21"/>
                <w:szCs w:val="21"/>
                <w:u w:val="none"/>
                <w:lang w:val="en-US" w:eastAsia="zh-CN"/>
              </w:rPr>
              <w:t>t</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水泥</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造价信息法</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329</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369</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snapToGrid w:val="0"/>
                <w:color w:val="000000"/>
                <w:kern w:val="0"/>
                <w:sz w:val="21"/>
                <w:szCs w:val="21"/>
                <w:u w:val="none"/>
                <w:lang w:val="en-US" w:eastAsia="zh-CN" w:bidi="ar"/>
              </w:rPr>
              <w:t>2019</w:t>
            </w:r>
            <w:r>
              <w:rPr>
                <w:rFonts w:hint="default" w:ascii="Arial" w:hAnsi="Arial" w:eastAsia="宋体" w:cs="Arial"/>
                <w:i w:val="0"/>
                <w:iCs w:val="0"/>
                <w:snapToGrid w:val="0"/>
                <w:color w:val="000000"/>
                <w:kern w:val="0"/>
                <w:sz w:val="21"/>
                <w:szCs w:val="21"/>
                <w:u w:val="none"/>
                <w:lang w:val="en-US" w:eastAsia="zh-CN" w:bidi="ar"/>
              </w:rPr>
              <w:t>年</w:t>
            </w:r>
            <w:r>
              <w:rPr>
                <w:rFonts w:hint="eastAsia" w:eastAsia="宋体" w:cs="Arial"/>
                <w:i w:val="0"/>
                <w:iCs w:val="0"/>
                <w:snapToGrid w:val="0"/>
                <w:color w:val="000000"/>
                <w:kern w:val="0"/>
                <w:sz w:val="21"/>
                <w:szCs w:val="21"/>
                <w:u w:val="none"/>
                <w:lang w:val="en-US" w:eastAsia="zh-CN" w:bidi="ar"/>
              </w:rPr>
              <w:t>1</w:t>
            </w:r>
            <w:r>
              <w:rPr>
                <w:rFonts w:hint="default" w:ascii="Arial" w:hAnsi="Arial" w:eastAsia="宋体" w:cs="Arial"/>
                <w:i w:val="0"/>
                <w:iCs w:val="0"/>
                <w:snapToGrid w:val="0"/>
                <w:color w:val="000000"/>
                <w:kern w:val="0"/>
                <w:sz w:val="21"/>
                <w:szCs w:val="21"/>
                <w:u w:val="none"/>
                <w:lang w:val="en-US" w:eastAsia="zh-CN" w:bidi="ar"/>
              </w:rPr>
              <w:t>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color w:val="000000"/>
                <w:sz w:val="21"/>
                <w:szCs w:val="21"/>
                <w:u w:val="none"/>
                <w:lang w:val="en-US" w:eastAsia="zh-CN"/>
              </w:rPr>
              <w:t>002</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中粗砂</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color w:val="000000"/>
                <w:sz w:val="21"/>
                <w:szCs w:val="21"/>
                <w:u w:val="none"/>
                <w:lang w:val="en-US" w:eastAsia="zh-CN"/>
              </w:rPr>
              <w:t>m³</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地材</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造价信息法</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220</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256</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snapToGrid w:val="0"/>
                <w:color w:val="000000"/>
                <w:kern w:val="0"/>
                <w:sz w:val="21"/>
                <w:szCs w:val="21"/>
                <w:u w:val="none"/>
                <w:lang w:val="en-US" w:eastAsia="zh-CN" w:bidi="ar"/>
              </w:rPr>
              <w:t>2019</w:t>
            </w:r>
            <w:r>
              <w:rPr>
                <w:rFonts w:hint="default" w:ascii="Arial" w:hAnsi="Arial" w:eastAsia="宋体" w:cs="Arial"/>
                <w:i w:val="0"/>
                <w:iCs w:val="0"/>
                <w:snapToGrid w:val="0"/>
                <w:color w:val="000000"/>
                <w:kern w:val="0"/>
                <w:sz w:val="21"/>
                <w:szCs w:val="21"/>
                <w:u w:val="none"/>
                <w:lang w:val="en-US" w:eastAsia="zh-CN" w:bidi="ar"/>
              </w:rPr>
              <w:t>年</w:t>
            </w:r>
            <w:r>
              <w:rPr>
                <w:rFonts w:hint="eastAsia" w:eastAsia="宋体" w:cs="Arial"/>
                <w:i w:val="0"/>
                <w:iCs w:val="0"/>
                <w:snapToGrid w:val="0"/>
                <w:color w:val="000000"/>
                <w:kern w:val="0"/>
                <w:sz w:val="21"/>
                <w:szCs w:val="21"/>
                <w:u w:val="none"/>
                <w:lang w:val="en-US" w:eastAsia="zh-CN" w:bidi="ar"/>
              </w:rPr>
              <w:t>1</w:t>
            </w:r>
            <w:r>
              <w:rPr>
                <w:rFonts w:hint="default" w:ascii="Arial" w:hAnsi="Arial" w:eastAsia="宋体" w:cs="Arial"/>
                <w:i w:val="0"/>
                <w:iCs w:val="0"/>
                <w:snapToGrid w:val="0"/>
                <w:color w:val="000000"/>
                <w:kern w:val="0"/>
                <w:sz w:val="21"/>
                <w:szCs w:val="21"/>
                <w:u w:val="none"/>
                <w:lang w:val="en-US" w:eastAsia="zh-CN" w:bidi="ar"/>
              </w:rPr>
              <w:t>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trPr>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color w:val="000000"/>
                <w:sz w:val="21"/>
                <w:szCs w:val="21"/>
                <w:u w:val="none"/>
                <w:lang w:val="en-US" w:eastAsia="zh-CN"/>
              </w:rPr>
              <w:t>003</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color w:val="000000"/>
                <w:sz w:val="21"/>
                <w:szCs w:val="21"/>
                <w:u w:val="none"/>
                <w:lang w:val="en-US" w:eastAsia="zh-CN"/>
              </w:rPr>
              <w:t>片石</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color w:val="000000"/>
                <w:sz w:val="21"/>
                <w:szCs w:val="21"/>
                <w:u w:val="none"/>
                <w:lang w:val="en-US" w:eastAsia="zh-CN"/>
              </w:rPr>
              <w:t>m³</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ascii="宋体" w:hAnsi="宋体" w:eastAsia="宋体" w:cs="宋体"/>
                <w:i w:val="0"/>
                <w:iCs w:val="0"/>
                <w:color w:val="000000"/>
                <w:sz w:val="21"/>
                <w:szCs w:val="21"/>
                <w:u w:val="none"/>
                <w:lang w:val="en-US" w:eastAsia="zh-CN"/>
              </w:rPr>
              <w:t>地材</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造价信息法</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136</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157</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snapToGrid w:val="0"/>
                <w:color w:val="000000"/>
                <w:kern w:val="0"/>
                <w:sz w:val="21"/>
                <w:szCs w:val="21"/>
                <w:u w:val="none"/>
                <w:lang w:val="en-US" w:eastAsia="zh-CN" w:bidi="ar"/>
              </w:rPr>
              <w:t>2019</w:t>
            </w:r>
            <w:r>
              <w:rPr>
                <w:rFonts w:hint="default" w:ascii="Arial" w:hAnsi="Arial" w:eastAsia="宋体" w:cs="Arial"/>
                <w:i w:val="0"/>
                <w:iCs w:val="0"/>
                <w:snapToGrid w:val="0"/>
                <w:color w:val="000000"/>
                <w:kern w:val="0"/>
                <w:sz w:val="21"/>
                <w:szCs w:val="21"/>
                <w:u w:val="none"/>
                <w:lang w:val="en-US" w:eastAsia="zh-CN" w:bidi="ar"/>
              </w:rPr>
              <w:t>年</w:t>
            </w:r>
            <w:r>
              <w:rPr>
                <w:rFonts w:hint="eastAsia" w:eastAsia="宋体" w:cs="Arial"/>
                <w:i w:val="0"/>
                <w:iCs w:val="0"/>
                <w:snapToGrid w:val="0"/>
                <w:color w:val="000000"/>
                <w:kern w:val="0"/>
                <w:sz w:val="21"/>
                <w:szCs w:val="21"/>
                <w:u w:val="none"/>
                <w:lang w:val="en-US" w:eastAsia="zh-CN" w:bidi="ar"/>
              </w:rPr>
              <w:t>1</w:t>
            </w:r>
            <w:r>
              <w:rPr>
                <w:rFonts w:hint="default" w:ascii="Arial" w:hAnsi="Arial" w:eastAsia="宋体" w:cs="Arial"/>
                <w:i w:val="0"/>
                <w:iCs w:val="0"/>
                <w:snapToGrid w:val="0"/>
                <w:color w:val="000000"/>
                <w:kern w:val="0"/>
                <w:sz w:val="21"/>
                <w:szCs w:val="21"/>
                <w:u w:val="none"/>
                <w:lang w:val="en-US" w:eastAsia="zh-CN" w:bidi="ar"/>
              </w:rPr>
              <w:t>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exact"/>
        </w:trPr>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color w:val="000000"/>
                <w:sz w:val="21"/>
                <w:szCs w:val="21"/>
                <w:u w:val="none"/>
                <w:lang w:val="en-US" w:eastAsia="zh-CN"/>
              </w:rPr>
              <w:t>004</w:t>
            </w:r>
          </w:p>
        </w:tc>
        <w:tc>
          <w:tcPr>
            <w:tcW w:w="18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eastAsia="宋体" w:cs="Arial"/>
                <w:i w:val="0"/>
                <w:iCs w:val="0"/>
                <w:color w:val="000000"/>
                <w:sz w:val="21"/>
                <w:szCs w:val="21"/>
                <w:u w:val="none"/>
                <w:lang w:val="en-US" w:eastAsia="zh-CN"/>
              </w:rPr>
              <w:t>柴油</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color w:val="000000"/>
                <w:sz w:val="21"/>
                <w:szCs w:val="21"/>
                <w:u w:val="none"/>
                <w:lang w:val="en-US" w:eastAsia="zh-CN"/>
              </w:rPr>
              <w:t>Kg</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燃油</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造价信息法</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6</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7</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snapToGrid w:val="0"/>
                <w:color w:val="000000"/>
                <w:kern w:val="0"/>
                <w:sz w:val="21"/>
                <w:szCs w:val="21"/>
                <w:u w:val="none"/>
                <w:lang w:val="en-US" w:eastAsia="zh-CN" w:bidi="ar"/>
              </w:rPr>
              <w:t>2019</w:t>
            </w:r>
            <w:r>
              <w:rPr>
                <w:rFonts w:hint="default" w:ascii="Arial" w:hAnsi="Arial" w:eastAsia="宋体" w:cs="Arial"/>
                <w:i w:val="0"/>
                <w:iCs w:val="0"/>
                <w:snapToGrid w:val="0"/>
                <w:color w:val="000000"/>
                <w:kern w:val="0"/>
                <w:sz w:val="21"/>
                <w:szCs w:val="21"/>
                <w:u w:val="none"/>
                <w:lang w:val="en-US" w:eastAsia="zh-CN" w:bidi="ar"/>
              </w:rPr>
              <w:t>年</w:t>
            </w:r>
            <w:r>
              <w:rPr>
                <w:rFonts w:hint="eastAsia" w:eastAsia="宋体" w:cs="Arial"/>
                <w:i w:val="0"/>
                <w:iCs w:val="0"/>
                <w:snapToGrid w:val="0"/>
                <w:color w:val="000000"/>
                <w:kern w:val="0"/>
                <w:sz w:val="21"/>
                <w:szCs w:val="21"/>
                <w:u w:val="none"/>
                <w:lang w:val="en-US" w:eastAsia="zh-CN" w:bidi="ar"/>
              </w:rPr>
              <w:t>1</w:t>
            </w:r>
            <w:r>
              <w:rPr>
                <w:rFonts w:hint="default" w:ascii="Arial" w:hAnsi="Arial" w:eastAsia="宋体" w:cs="Arial"/>
                <w:i w:val="0"/>
                <w:iCs w:val="0"/>
                <w:snapToGrid w:val="0"/>
                <w:color w:val="000000"/>
                <w:kern w:val="0"/>
                <w:sz w:val="21"/>
                <w:szCs w:val="21"/>
                <w:u w:val="none"/>
                <w:lang w:val="en-US" w:eastAsia="zh-CN" w:bidi="ar"/>
              </w:rPr>
              <w:t>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exact"/>
        </w:trPr>
        <w:tc>
          <w:tcPr>
            <w:tcW w:w="16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color w:val="000000"/>
                <w:sz w:val="21"/>
                <w:szCs w:val="21"/>
                <w:u w:val="none"/>
                <w:lang w:val="en-US" w:eastAsia="zh-CN"/>
              </w:rPr>
              <w:t>005</w:t>
            </w:r>
          </w:p>
        </w:tc>
        <w:tc>
          <w:tcPr>
            <w:tcW w:w="1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eastAsia="宋体" w:cs="Arial"/>
                <w:i w:val="0"/>
                <w:iCs w:val="0"/>
                <w:color w:val="000000"/>
                <w:sz w:val="21"/>
                <w:szCs w:val="21"/>
                <w:u w:val="none"/>
                <w:lang w:val="en-US" w:eastAsia="zh-CN"/>
              </w:rPr>
              <w:t>细砂</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color w:val="000000"/>
                <w:sz w:val="21"/>
                <w:szCs w:val="21"/>
                <w:u w:val="none"/>
                <w:lang w:val="en-US" w:eastAsia="zh-CN"/>
              </w:rPr>
              <w:t>m³</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地材</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snapToGrid w:val="0"/>
                <w:color w:val="000000"/>
                <w:kern w:val="0"/>
                <w:sz w:val="21"/>
                <w:szCs w:val="21"/>
                <w:u w:val="none"/>
                <w:lang w:val="en-US" w:eastAsia="zh-CN" w:bidi="ar"/>
              </w:rPr>
              <w:t>造价信息法</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335</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eastAsia="宋体" w:cs="Arial"/>
                <w:i w:val="0"/>
                <w:iCs w:val="0"/>
                <w:color w:val="000000"/>
                <w:sz w:val="21"/>
                <w:szCs w:val="21"/>
                <w:u w:val="none"/>
                <w:lang w:val="en-US" w:eastAsia="zh-CN"/>
              </w:rPr>
            </w:pPr>
            <w:r>
              <w:rPr>
                <w:rFonts w:hint="eastAsia" w:eastAsia="宋体" w:cs="Arial"/>
                <w:i w:val="0"/>
                <w:iCs w:val="0"/>
                <w:color w:val="000000"/>
                <w:sz w:val="21"/>
                <w:szCs w:val="21"/>
                <w:u w:val="none"/>
                <w:lang w:val="en-US" w:eastAsia="zh-CN"/>
              </w:rPr>
              <w:t>380</w:t>
            </w:r>
          </w:p>
        </w:tc>
        <w:tc>
          <w:tcPr>
            <w:tcW w:w="8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21"/>
                <w:szCs w:val="21"/>
                <w:u w:val="none"/>
              </w:rPr>
            </w:pPr>
            <w:r>
              <w:rPr>
                <w:rFonts w:hint="eastAsia" w:eastAsia="宋体" w:cs="Arial"/>
                <w:i w:val="0"/>
                <w:iCs w:val="0"/>
                <w:snapToGrid w:val="0"/>
                <w:color w:val="000000"/>
                <w:kern w:val="0"/>
                <w:sz w:val="21"/>
                <w:szCs w:val="21"/>
                <w:u w:val="none"/>
                <w:lang w:val="en-US" w:eastAsia="zh-CN" w:bidi="ar"/>
              </w:rPr>
              <w:t>2019</w:t>
            </w:r>
            <w:r>
              <w:rPr>
                <w:rFonts w:hint="default" w:ascii="Arial" w:hAnsi="Arial" w:eastAsia="宋体" w:cs="Arial"/>
                <w:i w:val="0"/>
                <w:iCs w:val="0"/>
                <w:snapToGrid w:val="0"/>
                <w:color w:val="000000"/>
                <w:kern w:val="0"/>
                <w:sz w:val="21"/>
                <w:szCs w:val="21"/>
                <w:u w:val="none"/>
                <w:lang w:val="en-US" w:eastAsia="zh-CN" w:bidi="ar"/>
              </w:rPr>
              <w:t>年</w:t>
            </w:r>
            <w:r>
              <w:rPr>
                <w:rFonts w:hint="eastAsia" w:eastAsia="宋体" w:cs="Arial"/>
                <w:i w:val="0"/>
                <w:iCs w:val="0"/>
                <w:snapToGrid w:val="0"/>
                <w:color w:val="000000"/>
                <w:kern w:val="0"/>
                <w:sz w:val="21"/>
                <w:szCs w:val="21"/>
                <w:u w:val="none"/>
                <w:lang w:val="en-US" w:eastAsia="zh-CN" w:bidi="ar"/>
              </w:rPr>
              <w:t>1</w:t>
            </w:r>
            <w:r>
              <w:rPr>
                <w:rFonts w:hint="default" w:ascii="Arial" w:hAnsi="Arial" w:eastAsia="宋体" w:cs="Arial"/>
                <w:i w:val="0"/>
                <w:iCs w:val="0"/>
                <w:snapToGrid w:val="0"/>
                <w:color w:val="000000"/>
                <w:kern w:val="0"/>
                <w:sz w:val="21"/>
                <w:szCs w:val="21"/>
                <w:u w:val="none"/>
                <w:lang w:val="en-US" w:eastAsia="zh-CN" w:bidi="ar"/>
              </w:rPr>
              <w:t>月</w:t>
            </w:r>
          </w:p>
        </w:tc>
      </w:tr>
    </w:tbl>
    <w:p>
      <w:pPr>
        <w:rPr>
          <w:rFonts w:hint="eastAsia"/>
          <w:lang w:val="en-US" w:eastAsia="zh-CN"/>
        </w:rPr>
      </w:pPr>
      <w:r>
        <w:rPr>
          <w:rFonts w:hint="eastAsia" w:ascii="宋体" w:hAnsi="宋体" w:eastAsia="宋体" w:cs="宋体"/>
          <w:spacing w:val="14"/>
          <w:sz w:val="24"/>
          <w:szCs w:val="24"/>
          <w:lang w:val="en-US" w:eastAsia="zh-CN"/>
        </w:rPr>
        <w:t>（3）根据上述资料，完成材料调差金额计算及计量支付</w:t>
      </w:r>
      <w:r>
        <w:rPr>
          <w:rFonts w:hint="default" w:ascii="宋体" w:hAnsi="宋体" w:eastAsia="宋体" w:cs="宋体"/>
          <w:spacing w:val="14"/>
          <w:sz w:val="24"/>
          <w:szCs w:val="24"/>
          <w:lang w:val="en-US" w:eastAsia="zh-CN"/>
        </w:rPr>
        <w:t>。</w:t>
      </w:r>
    </w:p>
    <w:p>
      <w:pPr>
        <w:spacing w:before="75" w:line="402" w:lineRule="auto"/>
        <w:rPr>
          <w:rFonts w:ascii="Arial"/>
          <w:sz w:val="21"/>
        </w:rPr>
        <w:sectPr>
          <w:headerReference r:id="rId14" w:type="default"/>
          <w:footerReference r:id="rId15" w:type="default"/>
          <w:pgSz w:w="16839" w:h="11906" w:orient="landscape"/>
          <w:pgMar w:top="1089" w:right="400" w:bottom="1088" w:left="1156" w:header="0" w:footer="996" w:gutter="0"/>
          <w:pgNumType w:fmt="decimal"/>
          <w:cols w:space="720" w:num="1"/>
        </w:sectPr>
      </w:pPr>
    </w:p>
    <w:p>
      <w:pPr>
        <w:pStyle w:val="2"/>
        <w:numPr>
          <w:ilvl w:val="0"/>
          <w:numId w:val="0"/>
        </w:numPr>
        <w:bidi w:val="0"/>
        <w:rPr>
          <w:rFonts w:hint="eastAsia"/>
          <w:lang w:eastAsia="zh-CN"/>
        </w:rPr>
      </w:pPr>
      <w:r>
        <w:rPr>
          <w:rFonts w:hint="eastAsia"/>
          <w:lang w:val="en-US" w:eastAsia="zh-CN"/>
        </w:rPr>
        <w:t>七、</w:t>
      </w:r>
      <w:r>
        <w:rPr>
          <w:rFonts w:hint="eastAsia"/>
          <w:lang w:eastAsia="zh-CN"/>
        </w:rPr>
        <w:t>本期计量完成统计表</w:t>
      </w:r>
      <w:bookmarkEnd w:id="645"/>
      <w:r>
        <w:rPr>
          <w:rFonts w:hint="eastAsia"/>
          <w:highlight w:val="yellow"/>
          <w:lang w:eastAsia="zh-CN"/>
        </w:rPr>
        <w:t>（</w:t>
      </w:r>
      <w:r>
        <w:rPr>
          <w:rFonts w:hint="eastAsia"/>
          <w:highlight w:val="yellow"/>
          <w:lang w:val="en-US" w:eastAsia="zh-CN"/>
        </w:rPr>
        <w:t>预付款计量周期：2019年1月；实体计量周期：2019年2月</w:t>
      </w:r>
      <w:r>
        <w:rPr>
          <w:rFonts w:hint="eastAsia"/>
          <w:highlight w:val="yellow"/>
          <w:lang w:eastAsia="zh-CN"/>
        </w:rPr>
        <w:t>）</w:t>
      </w:r>
    </w:p>
    <w:tbl>
      <w:tblPr>
        <w:tblStyle w:val="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5"/>
        <w:gridCol w:w="1065"/>
        <w:gridCol w:w="1435"/>
        <w:gridCol w:w="785"/>
        <w:gridCol w:w="1543"/>
        <w:gridCol w:w="1014"/>
        <w:gridCol w:w="683"/>
        <w:gridCol w:w="1546"/>
        <w:gridCol w:w="815"/>
        <w:gridCol w:w="1389"/>
        <w:gridCol w:w="3894"/>
        <w:gridCol w:w="6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blHeader/>
        </w:trPr>
        <w:tc>
          <w:tcPr>
            <w:tcW w:w="5000" w:type="pct"/>
            <w:gridSpan w:val="12"/>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本期计量完成统计表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5" w:hRule="atLeast"/>
          <w:tblHeader/>
        </w:trPr>
        <w:tc>
          <w:tcPr>
            <w:tcW w:w="2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序号</w:t>
            </w:r>
          </w:p>
        </w:tc>
        <w:tc>
          <w:tcPr>
            <w:tcW w:w="34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细目编号</w:t>
            </w:r>
          </w:p>
        </w:tc>
        <w:tc>
          <w:tcPr>
            <w:tcW w:w="46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细目名称</w:t>
            </w:r>
          </w:p>
        </w:tc>
        <w:tc>
          <w:tcPr>
            <w:tcW w:w="253"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单位</w:t>
            </w:r>
          </w:p>
        </w:tc>
        <w:tc>
          <w:tcPr>
            <w:tcW w:w="4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分项（桩号）</w:t>
            </w:r>
          </w:p>
        </w:tc>
        <w:tc>
          <w:tcPr>
            <w:tcW w:w="32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部位</w:t>
            </w:r>
          </w:p>
        </w:tc>
        <w:tc>
          <w:tcPr>
            <w:tcW w:w="2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图号</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交工证书</w:t>
            </w:r>
          </w:p>
        </w:tc>
        <w:tc>
          <w:tcPr>
            <w:tcW w:w="26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本期完成量</w:t>
            </w:r>
          </w:p>
        </w:tc>
        <w:tc>
          <w:tcPr>
            <w:tcW w:w="4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计算式</w:t>
            </w:r>
          </w:p>
        </w:tc>
        <w:tc>
          <w:tcPr>
            <w:tcW w:w="12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相关附件</w:t>
            </w:r>
          </w:p>
        </w:tc>
        <w:tc>
          <w:tcPr>
            <w:tcW w:w="2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snapToGrid w:val="0"/>
                <w:color w:val="000000"/>
                <w:kern w:val="0"/>
                <w:sz w:val="20"/>
                <w:szCs w:val="20"/>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34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101-1-a</w:t>
            </w:r>
          </w:p>
        </w:tc>
        <w:tc>
          <w:tcPr>
            <w:tcW w:w="46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建筑工程一切险</w:t>
            </w:r>
          </w:p>
        </w:tc>
        <w:tc>
          <w:tcPr>
            <w:tcW w:w="25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总额</w:t>
            </w:r>
          </w:p>
        </w:tc>
        <w:tc>
          <w:tcPr>
            <w:tcW w:w="4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保险费</w:t>
            </w:r>
          </w:p>
        </w:tc>
        <w:tc>
          <w:tcPr>
            <w:tcW w:w="32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TXSG-09</w:t>
            </w:r>
          </w:p>
        </w:tc>
        <w:tc>
          <w:tcPr>
            <w:tcW w:w="220"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2021072501</w:t>
            </w:r>
          </w:p>
        </w:tc>
        <w:tc>
          <w:tcPr>
            <w:tcW w:w="26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12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保险合同</w:t>
            </w:r>
          </w:p>
        </w:tc>
        <w:tc>
          <w:tcPr>
            <w:tcW w:w="220"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w:t>
            </w:r>
          </w:p>
        </w:tc>
        <w:tc>
          <w:tcPr>
            <w:tcW w:w="34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101-1-b</w:t>
            </w:r>
          </w:p>
        </w:tc>
        <w:tc>
          <w:tcPr>
            <w:tcW w:w="46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第三者责任险</w:t>
            </w:r>
          </w:p>
        </w:tc>
        <w:tc>
          <w:tcPr>
            <w:tcW w:w="25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总额</w:t>
            </w:r>
          </w:p>
        </w:tc>
        <w:tc>
          <w:tcPr>
            <w:tcW w:w="4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保险费</w:t>
            </w:r>
          </w:p>
        </w:tc>
        <w:tc>
          <w:tcPr>
            <w:tcW w:w="32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TXSG-09</w:t>
            </w:r>
          </w:p>
        </w:tc>
        <w:tc>
          <w:tcPr>
            <w:tcW w:w="220"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2021072502</w:t>
            </w:r>
          </w:p>
        </w:tc>
        <w:tc>
          <w:tcPr>
            <w:tcW w:w="26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w:t>
            </w:r>
          </w:p>
        </w:tc>
        <w:tc>
          <w:tcPr>
            <w:tcW w:w="4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1*1</w:t>
            </w:r>
          </w:p>
        </w:tc>
        <w:tc>
          <w:tcPr>
            <w:tcW w:w="12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保险合同</w:t>
            </w:r>
          </w:p>
        </w:tc>
        <w:tc>
          <w:tcPr>
            <w:tcW w:w="220"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2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w:t>
            </w:r>
          </w:p>
        </w:tc>
        <w:tc>
          <w:tcPr>
            <w:tcW w:w="34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102-3</w:t>
            </w:r>
          </w:p>
        </w:tc>
        <w:tc>
          <w:tcPr>
            <w:tcW w:w="46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安全生产费</w:t>
            </w:r>
          </w:p>
        </w:tc>
        <w:tc>
          <w:tcPr>
            <w:tcW w:w="25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总额</w:t>
            </w:r>
          </w:p>
        </w:tc>
        <w:tc>
          <w:tcPr>
            <w:tcW w:w="49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工程管理</w:t>
            </w:r>
          </w:p>
        </w:tc>
        <w:tc>
          <w:tcPr>
            <w:tcW w:w="32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TXSG-09</w:t>
            </w:r>
          </w:p>
        </w:tc>
        <w:tc>
          <w:tcPr>
            <w:tcW w:w="220"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2021072503</w:t>
            </w:r>
          </w:p>
        </w:tc>
        <w:tc>
          <w:tcPr>
            <w:tcW w:w="26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0.2</w:t>
            </w:r>
          </w:p>
        </w:tc>
        <w:tc>
          <w:tcPr>
            <w:tcW w:w="44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1*0.2</w:t>
            </w:r>
          </w:p>
        </w:tc>
        <w:tc>
          <w:tcPr>
            <w:tcW w:w="12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发票、照片</w:t>
            </w:r>
          </w:p>
        </w:tc>
        <w:tc>
          <w:tcPr>
            <w:tcW w:w="220"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40" w:hRule="atLeast"/>
        </w:trPr>
        <w:tc>
          <w:tcPr>
            <w:tcW w:w="2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w:t>
            </w:r>
          </w:p>
        </w:tc>
        <w:tc>
          <w:tcPr>
            <w:tcW w:w="34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203-1-a</w:t>
            </w:r>
          </w:p>
        </w:tc>
        <w:tc>
          <w:tcPr>
            <w:tcW w:w="46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挖土方</w:t>
            </w:r>
          </w:p>
        </w:tc>
        <w:tc>
          <w:tcPr>
            <w:tcW w:w="25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w:t>
            </w:r>
            <w:r>
              <w:rPr>
                <w:rFonts w:hint="eastAsia" w:ascii="宋体" w:hAnsi="宋体" w:eastAsia="宋体" w:cs="宋体"/>
                <w:i w:val="0"/>
                <w:iCs w:val="0"/>
                <w:snapToGrid w:val="0"/>
                <w:color w:val="000000"/>
                <w:kern w:val="0"/>
                <w:sz w:val="20"/>
                <w:szCs w:val="20"/>
                <w:u w:val="none"/>
                <w:vertAlign w:val="superscript"/>
                <w:lang w:val="en-US" w:eastAsia="zh-CN" w:bidi="ar"/>
              </w:rPr>
              <w:t>3</w:t>
            </w:r>
          </w:p>
        </w:tc>
        <w:tc>
          <w:tcPr>
            <w:tcW w:w="497"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K10+000-K14+400</w:t>
            </w:r>
          </w:p>
        </w:tc>
        <w:tc>
          <w:tcPr>
            <w:tcW w:w="32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路基挖方</w:t>
            </w:r>
          </w:p>
        </w:tc>
        <w:tc>
          <w:tcPr>
            <w:tcW w:w="2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S2-1-2-1</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2021072509</w:t>
            </w:r>
          </w:p>
        </w:tc>
        <w:tc>
          <w:tcPr>
            <w:tcW w:w="26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20000</w:t>
            </w:r>
          </w:p>
        </w:tc>
        <w:tc>
          <w:tcPr>
            <w:tcW w:w="44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13000+7000</w:t>
            </w:r>
          </w:p>
        </w:tc>
        <w:tc>
          <w:tcPr>
            <w:tcW w:w="12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1、土方路基工程现场质量检验报告单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2、分项工程检验申请和中间交验审批表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3、施工放样现场记录表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4、现场核验记录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5、自检现场检测记录表</w:t>
            </w:r>
          </w:p>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6、路基宽度检测表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7、水准仪测量记录表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8、挖方路段施工原始记录</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9、土体沉降、水平位移观察井检测记录</w:t>
            </w:r>
          </w:p>
        </w:tc>
        <w:tc>
          <w:tcPr>
            <w:tcW w:w="220"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75" w:hRule="atLeast"/>
        </w:trPr>
        <w:tc>
          <w:tcPr>
            <w:tcW w:w="2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w:t>
            </w:r>
          </w:p>
        </w:tc>
        <w:tc>
          <w:tcPr>
            <w:tcW w:w="34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204-1-a</w:t>
            </w:r>
          </w:p>
        </w:tc>
        <w:tc>
          <w:tcPr>
            <w:tcW w:w="46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利用土方</w:t>
            </w:r>
          </w:p>
        </w:tc>
        <w:tc>
          <w:tcPr>
            <w:tcW w:w="25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m³</w:t>
            </w:r>
          </w:p>
        </w:tc>
        <w:tc>
          <w:tcPr>
            <w:tcW w:w="497"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K20+000-K25+400</w:t>
            </w:r>
          </w:p>
        </w:tc>
        <w:tc>
          <w:tcPr>
            <w:tcW w:w="327"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路基填方</w:t>
            </w:r>
          </w:p>
        </w:tc>
        <w:tc>
          <w:tcPr>
            <w:tcW w:w="220"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S2-1-3-1</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2021072510</w:t>
            </w:r>
          </w:p>
        </w:tc>
        <w:tc>
          <w:tcPr>
            <w:tcW w:w="262"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55000</w:t>
            </w:r>
          </w:p>
        </w:tc>
        <w:tc>
          <w:tcPr>
            <w:tcW w:w="44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350+1500+3000+1500+500</w:t>
            </w:r>
          </w:p>
        </w:tc>
        <w:tc>
          <w:tcPr>
            <w:tcW w:w="12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1、土方路基工程现场质量检验报告单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2、分项工程检验申请和中间交验审批表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3、施工放样现场记录表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4、现场核验记录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5、自检现场检测记录表</w:t>
            </w:r>
          </w:p>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6、路基宽度检测表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7、水准仪测量记录表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 xml:space="preserve">8、土方路基填筑工程施工原始记录                                                                                                9、路基边坡检测记录                                                                                                         </w:t>
            </w:r>
          </w:p>
        </w:tc>
        <w:tc>
          <w:tcPr>
            <w:tcW w:w="220"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55" w:hRule="atLeast"/>
        </w:trPr>
        <w:tc>
          <w:tcPr>
            <w:tcW w:w="2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6</w:t>
            </w:r>
          </w:p>
        </w:tc>
        <w:tc>
          <w:tcPr>
            <w:tcW w:w="34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205-1-b</w:t>
            </w:r>
          </w:p>
        </w:tc>
        <w:tc>
          <w:tcPr>
            <w:tcW w:w="46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砂垫层</w:t>
            </w:r>
          </w:p>
        </w:tc>
        <w:tc>
          <w:tcPr>
            <w:tcW w:w="25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m³</w:t>
            </w:r>
          </w:p>
        </w:tc>
        <w:tc>
          <w:tcPr>
            <w:tcW w:w="497"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K20+000-K30+400</w:t>
            </w:r>
          </w:p>
        </w:tc>
        <w:tc>
          <w:tcPr>
            <w:tcW w:w="327"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垫层</w:t>
            </w:r>
          </w:p>
        </w:tc>
        <w:tc>
          <w:tcPr>
            <w:tcW w:w="22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S2-1-5-1</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2021072511</w:t>
            </w:r>
          </w:p>
        </w:tc>
        <w:tc>
          <w:tcPr>
            <w:tcW w:w="26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450</w:t>
            </w:r>
          </w:p>
        </w:tc>
        <w:tc>
          <w:tcPr>
            <w:tcW w:w="44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250+200</w:t>
            </w:r>
          </w:p>
        </w:tc>
        <w:tc>
          <w:tcPr>
            <w:tcW w:w="12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1、分项工程检验申请和中间交验审批表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2、施工放样现场记录表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3、软基处理砂垫层现场质量检验报告单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4、现场核验记录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5、自检现场检测记录表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6、砂砾（砂）垫层施工记录</w:t>
            </w:r>
          </w:p>
        </w:tc>
        <w:tc>
          <w:tcPr>
            <w:tcW w:w="22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55" w:hRule="atLeast"/>
        </w:trPr>
        <w:tc>
          <w:tcPr>
            <w:tcW w:w="20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7</w:t>
            </w:r>
          </w:p>
        </w:tc>
        <w:tc>
          <w:tcPr>
            <w:tcW w:w="34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207-2-a</w:t>
            </w:r>
          </w:p>
        </w:tc>
        <w:tc>
          <w:tcPr>
            <w:tcW w:w="46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浆砌片石排水沟</w:t>
            </w:r>
          </w:p>
        </w:tc>
        <w:tc>
          <w:tcPr>
            <w:tcW w:w="253"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m</w:t>
            </w:r>
          </w:p>
        </w:tc>
        <w:tc>
          <w:tcPr>
            <w:tcW w:w="497"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K20+000-K27+400</w:t>
            </w:r>
          </w:p>
        </w:tc>
        <w:tc>
          <w:tcPr>
            <w:tcW w:w="327"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排水沟</w:t>
            </w:r>
          </w:p>
        </w:tc>
        <w:tc>
          <w:tcPr>
            <w:tcW w:w="22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S2-1-7-2</w:t>
            </w:r>
          </w:p>
        </w:tc>
        <w:tc>
          <w:tcPr>
            <w:tcW w:w="498"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2021072512</w:t>
            </w:r>
          </w:p>
        </w:tc>
        <w:tc>
          <w:tcPr>
            <w:tcW w:w="262"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350</w:t>
            </w:r>
          </w:p>
        </w:tc>
        <w:tc>
          <w:tcPr>
            <w:tcW w:w="448"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100+250</w:t>
            </w:r>
          </w:p>
        </w:tc>
        <w:tc>
          <w:tcPr>
            <w:tcW w:w="1256" w:type="pct"/>
            <w:tcBorders>
              <w:top w:val="single" w:color="000000" w:sz="8" w:space="0"/>
              <w:left w:val="single" w:color="000000" w:sz="8" w:space="0"/>
              <w:bottom w:val="single" w:color="000000" w:sz="8"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1、分项工程检验申请和中间交验审批表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2、施工放样现场记录表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3、浆砌排水沟现场质量检验报告</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4、现场核验记录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5、基地承载力（轻型触探）检验记录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6、砂砾垫层施工记录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7、水泥浇筑申请及施工记录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8、砌体工程施工原始记录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9、软基处理砂垫层现场质量检验报告单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10、水准仪测量记录表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11、浆砌排水沟分项工程质量检验评定表</w:t>
            </w:r>
          </w:p>
        </w:tc>
        <w:tc>
          <w:tcPr>
            <w:tcW w:w="220"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208" w:type="pct"/>
            <w:tcBorders>
              <w:top w:val="nil"/>
              <w:left w:val="single" w:color="000000" w:sz="8" w:space="0"/>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8</w:t>
            </w:r>
          </w:p>
        </w:tc>
        <w:tc>
          <w:tcPr>
            <w:tcW w:w="343" w:type="pct"/>
            <w:tcBorders>
              <w:top w:val="nil"/>
              <w:left w:val="single" w:color="000000" w:sz="8" w:space="0"/>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502-1-a</w:t>
            </w:r>
          </w:p>
        </w:tc>
        <w:tc>
          <w:tcPr>
            <w:tcW w:w="462" w:type="pct"/>
            <w:tcBorders>
              <w:top w:val="nil"/>
              <w:left w:val="single" w:color="000000" w:sz="8" w:space="0"/>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土方</w:t>
            </w:r>
          </w:p>
        </w:tc>
        <w:tc>
          <w:tcPr>
            <w:tcW w:w="253" w:type="pct"/>
            <w:tcBorders>
              <w:top w:val="nil"/>
              <w:left w:val="single" w:color="000000" w:sz="8" w:space="0"/>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m³</w:t>
            </w:r>
          </w:p>
        </w:tc>
        <w:tc>
          <w:tcPr>
            <w:tcW w:w="497" w:type="pct"/>
            <w:tcBorders>
              <w:top w:val="single" w:color="000000" w:sz="8" w:space="0"/>
              <w:left w:val="single" w:color="000000" w:sz="8" w:space="0"/>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snapToGrid w:val="0"/>
                <w:color w:val="000000"/>
                <w:kern w:val="0"/>
                <w:sz w:val="20"/>
                <w:szCs w:val="20"/>
                <w:u w:val="none"/>
                <w:lang w:val="en-US" w:eastAsia="zh-CN" w:bidi="ar"/>
              </w:rPr>
              <w:t>K27+400-K27+420</w:t>
            </w:r>
          </w:p>
        </w:tc>
        <w:tc>
          <w:tcPr>
            <w:tcW w:w="327" w:type="pct"/>
            <w:tcBorders>
              <w:top w:val="nil"/>
              <w:left w:val="single" w:color="000000" w:sz="8" w:space="0"/>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rPr>
              <w:t>洞口、明洞开挖</w:t>
            </w:r>
          </w:p>
        </w:tc>
        <w:tc>
          <w:tcPr>
            <w:tcW w:w="220" w:type="pct"/>
            <w:tcBorders>
              <w:top w:val="single" w:color="000000" w:sz="8" w:space="0"/>
              <w:left w:val="single" w:color="000000" w:sz="8" w:space="0"/>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S2-1-7-3</w:t>
            </w:r>
          </w:p>
        </w:tc>
        <w:tc>
          <w:tcPr>
            <w:tcW w:w="498" w:type="pct"/>
            <w:tcBorders>
              <w:top w:val="single" w:color="000000" w:sz="8" w:space="0"/>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2021072513</w:t>
            </w:r>
          </w:p>
        </w:tc>
        <w:tc>
          <w:tcPr>
            <w:tcW w:w="262" w:type="pct"/>
            <w:tcBorders>
              <w:top w:val="nil"/>
              <w:left w:val="single" w:color="000000" w:sz="8" w:space="0"/>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30000</w:t>
            </w:r>
          </w:p>
        </w:tc>
        <w:tc>
          <w:tcPr>
            <w:tcW w:w="448" w:type="pct"/>
            <w:tcBorders>
              <w:top w:val="nil"/>
              <w:left w:val="single" w:color="000000" w:sz="8" w:space="0"/>
              <w:bottom w:val="single" w:color="auto"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20000+10000</w:t>
            </w:r>
          </w:p>
        </w:tc>
        <w:tc>
          <w:tcPr>
            <w:tcW w:w="1256" w:type="pct"/>
            <w:tcBorders>
              <w:top w:val="nil"/>
              <w:left w:val="single" w:color="000000" w:sz="8" w:space="0"/>
              <w:bottom w:val="single" w:color="auto" w:sz="4" w:space="0"/>
              <w:right w:val="single" w:color="000000" w:sz="8"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snapToGrid w:val="0"/>
                <w:color w:val="000000"/>
                <w:kern w:val="0"/>
                <w:sz w:val="20"/>
                <w:szCs w:val="20"/>
                <w:u w:val="none"/>
                <w:lang w:val="en-US" w:eastAsia="zh-CN" w:bidi="ar"/>
              </w:rPr>
              <w:t>1、分项工程检验申请和中间交验审批表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2、施工放样现场记录表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3、洞口开挖现场质量检验报告单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4、现场核验记录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5、自检现场检测记录</w:t>
            </w:r>
          </w:p>
        </w:tc>
        <w:tc>
          <w:tcPr>
            <w:tcW w:w="220" w:type="pct"/>
            <w:tcBorders>
              <w:top w:val="nil"/>
              <w:left w:val="single" w:color="000000" w:sz="8" w:space="0"/>
              <w:bottom w:val="nil"/>
              <w:right w:val="single" w:color="000000" w:sz="8"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20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9</w:t>
            </w:r>
          </w:p>
        </w:tc>
        <w:tc>
          <w:tcPr>
            <w:tcW w:w="34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color w:val="000000"/>
                <w:sz w:val="20"/>
                <w:szCs w:val="20"/>
                <w:u w:val="none"/>
              </w:rPr>
              <w:t>502-1-</w:t>
            </w:r>
            <w:r>
              <w:rPr>
                <w:rFonts w:hint="eastAsia" w:ascii="宋体" w:hAnsi="宋体" w:eastAsia="宋体" w:cs="宋体"/>
                <w:i w:val="0"/>
                <w:iCs w:val="0"/>
                <w:color w:val="000000"/>
                <w:sz w:val="20"/>
                <w:szCs w:val="20"/>
                <w:u w:val="none"/>
                <w:lang w:val="en-US" w:eastAsia="zh-CN"/>
              </w:rPr>
              <w:t>b</w:t>
            </w:r>
          </w:p>
        </w:tc>
        <w:tc>
          <w:tcPr>
            <w:tcW w:w="4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石方</w:t>
            </w:r>
          </w:p>
        </w:tc>
        <w:tc>
          <w:tcPr>
            <w:tcW w:w="25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color w:val="000000"/>
                <w:sz w:val="20"/>
                <w:szCs w:val="20"/>
                <w:u w:val="none"/>
                <w:lang w:val="en-US" w:eastAsia="zh-CN"/>
              </w:rPr>
              <w:t>m³</w:t>
            </w:r>
          </w:p>
        </w:tc>
        <w:tc>
          <w:tcPr>
            <w:tcW w:w="4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K27+400-K27+420</w:t>
            </w:r>
          </w:p>
        </w:tc>
        <w:tc>
          <w:tcPr>
            <w:tcW w:w="32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洞口、明洞开挖</w:t>
            </w:r>
          </w:p>
        </w:tc>
        <w:tc>
          <w:tcPr>
            <w:tcW w:w="2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S2-1-7-3</w:t>
            </w:r>
          </w:p>
        </w:tc>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2021072514</w:t>
            </w:r>
          </w:p>
        </w:tc>
        <w:tc>
          <w:tcPr>
            <w:tcW w:w="2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20000</w:t>
            </w:r>
          </w:p>
        </w:tc>
        <w:tc>
          <w:tcPr>
            <w:tcW w:w="44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10000+10000</w:t>
            </w:r>
          </w:p>
        </w:tc>
        <w:tc>
          <w:tcPr>
            <w:tcW w:w="125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1、分项工程检验申请和中间交验审批表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2、施工放样现场记录表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3、洞口开挖现场质量检验报告单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4、现场核验记录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5、自检现场检测记录</w:t>
            </w:r>
          </w:p>
        </w:tc>
        <w:tc>
          <w:tcPr>
            <w:tcW w:w="220" w:type="pct"/>
            <w:tcBorders>
              <w:top w:val="nil"/>
              <w:left w:val="single" w:color="auto" w:sz="4" w:space="0"/>
              <w:bottom w:val="nil"/>
              <w:right w:val="single" w:color="000000" w:sz="8"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3" w:hRule="atLeast"/>
        </w:trPr>
        <w:tc>
          <w:tcPr>
            <w:tcW w:w="20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10</w:t>
            </w:r>
          </w:p>
        </w:tc>
        <w:tc>
          <w:tcPr>
            <w:tcW w:w="34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503-1-a</w:t>
            </w:r>
          </w:p>
        </w:tc>
        <w:tc>
          <w:tcPr>
            <w:tcW w:w="4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洞身开挖</w:t>
            </w:r>
          </w:p>
        </w:tc>
        <w:tc>
          <w:tcPr>
            <w:tcW w:w="25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m³</w:t>
            </w:r>
          </w:p>
        </w:tc>
        <w:tc>
          <w:tcPr>
            <w:tcW w:w="4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K27+420-K27+950</w:t>
            </w:r>
          </w:p>
        </w:tc>
        <w:tc>
          <w:tcPr>
            <w:tcW w:w="32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洞身开挖</w:t>
            </w:r>
          </w:p>
        </w:tc>
        <w:tc>
          <w:tcPr>
            <w:tcW w:w="2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S2-1-7-3</w:t>
            </w:r>
          </w:p>
        </w:tc>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2021072515</w:t>
            </w:r>
          </w:p>
        </w:tc>
        <w:tc>
          <w:tcPr>
            <w:tcW w:w="2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3211</w:t>
            </w:r>
          </w:p>
        </w:tc>
        <w:tc>
          <w:tcPr>
            <w:tcW w:w="44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3000+211</w:t>
            </w:r>
          </w:p>
        </w:tc>
        <w:tc>
          <w:tcPr>
            <w:tcW w:w="125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1、分项工程检验申请和中间交验审批表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2、施工放样现场记录表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3、洞身开挖现场质量检验报告单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4、现场核验记录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5、自检现场检测记录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6、洞身爆破工程施工原始记录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7、洞身开挖检查记录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8、工程地质和支护状况观察记录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9、洞身开挖情况调查记录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10、超挖回填施工记录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11、洞身开挖分项工程质量检验评定表</w:t>
            </w:r>
          </w:p>
        </w:tc>
        <w:tc>
          <w:tcPr>
            <w:tcW w:w="220" w:type="pct"/>
            <w:tcBorders>
              <w:top w:val="nil"/>
              <w:left w:val="single" w:color="auto" w:sz="4" w:space="0"/>
              <w:bottom w:val="nil"/>
              <w:right w:val="single" w:color="000000" w:sz="8"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3" w:hRule="atLeast"/>
        </w:trPr>
        <w:tc>
          <w:tcPr>
            <w:tcW w:w="20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11</w:t>
            </w:r>
          </w:p>
        </w:tc>
        <w:tc>
          <w:tcPr>
            <w:tcW w:w="34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503-1-a</w:t>
            </w:r>
          </w:p>
        </w:tc>
        <w:tc>
          <w:tcPr>
            <w:tcW w:w="4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洞身开挖</w:t>
            </w:r>
          </w:p>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（变更）</w:t>
            </w:r>
          </w:p>
        </w:tc>
        <w:tc>
          <w:tcPr>
            <w:tcW w:w="253"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m³</w:t>
            </w:r>
          </w:p>
        </w:tc>
        <w:tc>
          <w:tcPr>
            <w:tcW w:w="49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K27+420-K27+950</w:t>
            </w:r>
          </w:p>
        </w:tc>
        <w:tc>
          <w:tcPr>
            <w:tcW w:w="327"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洞身开挖</w:t>
            </w:r>
          </w:p>
        </w:tc>
        <w:tc>
          <w:tcPr>
            <w:tcW w:w="220"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S2-1-7-3</w:t>
            </w:r>
          </w:p>
        </w:tc>
        <w:tc>
          <w:tcPr>
            <w:tcW w:w="4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2021072516</w:t>
            </w:r>
          </w:p>
        </w:tc>
        <w:tc>
          <w:tcPr>
            <w:tcW w:w="26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2000</w:t>
            </w:r>
          </w:p>
        </w:tc>
        <w:tc>
          <w:tcPr>
            <w:tcW w:w="44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snapToGrid w:val="0"/>
                <w:color w:val="000000"/>
                <w:kern w:val="0"/>
                <w:sz w:val="20"/>
                <w:szCs w:val="20"/>
                <w:u w:val="none"/>
                <w:lang w:val="en-US" w:eastAsia="zh-CN" w:bidi="ar"/>
              </w:rPr>
            </w:pPr>
            <w:r>
              <w:rPr>
                <w:rFonts w:hint="eastAsia" w:ascii="宋体" w:hAnsi="宋体" w:eastAsia="宋体" w:cs="宋体"/>
                <w:i w:val="0"/>
                <w:iCs w:val="0"/>
                <w:snapToGrid w:val="0"/>
                <w:color w:val="000000"/>
                <w:kern w:val="0"/>
                <w:sz w:val="20"/>
                <w:szCs w:val="20"/>
                <w:u w:val="none"/>
                <w:lang w:val="en-US" w:eastAsia="zh-CN" w:bidi="ar"/>
              </w:rPr>
              <w:t>1500+500</w:t>
            </w:r>
          </w:p>
          <w:p>
            <w:pPr>
              <w:keepNext w:val="0"/>
              <w:keepLines w:val="0"/>
              <w:widowControl/>
              <w:suppressLineNumbers w:val="0"/>
              <w:jc w:val="center"/>
              <w:textAlignment w:val="center"/>
              <w:rPr>
                <w:rFonts w:hint="default"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（变更）</w:t>
            </w:r>
          </w:p>
        </w:tc>
        <w:tc>
          <w:tcPr>
            <w:tcW w:w="125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snapToGrid w:val="0"/>
                <w:color w:val="000000"/>
                <w:kern w:val="0"/>
                <w:sz w:val="20"/>
                <w:szCs w:val="20"/>
                <w:u w:val="none"/>
                <w:lang w:val="en-US" w:eastAsia="zh-CN"/>
              </w:rPr>
            </w:pPr>
            <w:r>
              <w:rPr>
                <w:rFonts w:hint="eastAsia" w:ascii="宋体" w:hAnsi="宋体" w:eastAsia="宋体" w:cs="宋体"/>
                <w:i w:val="0"/>
                <w:iCs w:val="0"/>
                <w:snapToGrid w:val="0"/>
                <w:color w:val="000000"/>
                <w:kern w:val="0"/>
                <w:sz w:val="20"/>
                <w:szCs w:val="20"/>
                <w:u w:val="none"/>
                <w:lang w:val="en-US" w:eastAsia="zh-CN" w:bidi="ar"/>
              </w:rPr>
              <w:t>1、分项工程检验申请和中间交验审批表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2、施工放样现场记录表</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3、洞身开挖现场质量检验报告单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4、现场核验记录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5、自检现场检测记录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6、洞身爆破工程施工原始记录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7、洞身开挖检查记录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8、工程地质和支护状况观察记录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9、洞身开挖情况调查记录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10、超挖回填施工记录</w:t>
            </w:r>
            <w:r>
              <w:rPr>
                <w:rFonts w:hint="eastAsia" w:ascii="宋体" w:hAnsi="宋体" w:eastAsia="宋体" w:cs="宋体"/>
                <w:i w:val="0"/>
                <w:iCs w:val="0"/>
                <w:snapToGrid w:val="0"/>
                <w:color w:val="000000"/>
                <w:kern w:val="0"/>
                <w:sz w:val="20"/>
                <w:szCs w:val="20"/>
                <w:u w:val="none"/>
                <w:lang w:val="en-US" w:eastAsia="zh-CN" w:bidi="ar"/>
              </w:rPr>
              <w:br w:type="textWrapping"/>
            </w:r>
            <w:r>
              <w:rPr>
                <w:rFonts w:hint="eastAsia" w:ascii="宋体" w:hAnsi="宋体" w:eastAsia="宋体" w:cs="宋体"/>
                <w:i w:val="0"/>
                <w:iCs w:val="0"/>
                <w:snapToGrid w:val="0"/>
                <w:color w:val="000000"/>
                <w:kern w:val="0"/>
                <w:sz w:val="20"/>
                <w:szCs w:val="20"/>
                <w:u w:val="none"/>
                <w:lang w:val="en-US" w:eastAsia="zh-CN" w:bidi="ar"/>
              </w:rPr>
              <w:t>11、洞身开挖分项工程质量检验评定表</w:t>
            </w:r>
          </w:p>
        </w:tc>
        <w:tc>
          <w:tcPr>
            <w:tcW w:w="220" w:type="pct"/>
            <w:tcBorders>
              <w:top w:val="nil"/>
              <w:left w:val="single" w:color="auto" w:sz="4" w:space="0"/>
              <w:bottom w:val="single" w:color="000000" w:sz="8" w:space="0"/>
              <w:right w:val="single" w:color="000000" w:sz="8" w:space="0"/>
            </w:tcBorders>
            <w:shd w:val="clear" w:color="auto" w:fill="auto"/>
            <w:noWrap/>
            <w:vAlign w:val="center"/>
          </w:tcPr>
          <w:p>
            <w:pPr>
              <w:jc w:val="center"/>
              <w:rPr>
                <w:rFonts w:hint="eastAsia" w:ascii="宋体" w:hAnsi="宋体" w:eastAsia="宋体" w:cs="宋体"/>
                <w:i w:val="0"/>
                <w:iCs w:val="0"/>
                <w:color w:val="000000"/>
                <w:sz w:val="20"/>
                <w:szCs w:val="20"/>
                <w:u w:val="none"/>
              </w:rPr>
            </w:pPr>
          </w:p>
        </w:tc>
      </w:tr>
    </w:tbl>
    <w:p>
      <w:pPr>
        <w:rPr>
          <w:rFonts w:hint="eastAsia" w:ascii="宋体" w:hAnsi="宋体" w:eastAsia="宋体" w:cs="宋体"/>
          <w:spacing w:val="7"/>
          <w:sz w:val="31"/>
          <w:szCs w:val="31"/>
          <w:lang w:eastAsia="zh-CN"/>
          <w14:textOutline w14:w="5793" w14:cap="sq" w14:cmpd="sng">
            <w14:solidFill>
              <w14:srgbClr w14:val="000000"/>
            </w14:solidFill>
            <w14:prstDash w14:val="solid"/>
            <w14:bevel/>
          </w14:textOutline>
        </w:rPr>
        <w:sectPr>
          <w:pgSz w:w="16839" w:h="11906" w:orient="landscape"/>
          <w:pgMar w:top="1089" w:right="400" w:bottom="1015" w:left="1156" w:header="0" w:footer="996" w:gutter="0"/>
          <w:pgNumType w:fmt="decimal"/>
          <w:cols w:space="720" w:num="1"/>
        </w:sectPr>
      </w:pPr>
      <w:r>
        <w:rPr>
          <w:rFonts w:hint="eastAsia" w:ascii="宋体" w:hAnsi="宋体" w:eastAsia="宋体" w:cs="宋体"/>
          <w:spacing w:val="7"/>
          <w:sz w:val="31"/>
          <w:szCs w:val="31"/>
          <w:lang w:eastAsia="zh-CN"/>
          <w14:textOutline w14:w="5793" w14:cap="sq" w14:cmpd="sng">
            <w14:solidFill>
              <w14:srgbClr w14:val="000000"/>
            </w14:solidFill>
            <w14:prstDash w14:val="solid"/>
            <w14:bevel/>
          </w14:textOutline>
        </w:rPr>
        <w:br w:type="page"/>
      </w:r>
    </w:p>
    <w:p>
      <w:pPr>
        <w:pStyle w:val="2"/>
        <w:numPr>
          <w:ilvl w:val="0"/>
          <w:numId w:val="0"/>
        </w:numPr>
        <w:bidi w:val="0"/>
        <w:rPr>
          <w:rFonts w:hint="eastAsia"/>
          <w:lang w:eastAsia="zh-CN"/>
        </w:rPr>
      </w:pPr>
      <w:bookmarkStart w:id="646" w:name="_Toc11077"/>
      <w:r>
        <w:rPr>
          <w:rFonts w:hint="eastAsia"/>
          <w:lang w:val="en-US" w:eastAsia="zh-CN"/>
        </w:rPr>
        <w:t>八、</w:t>
      </w:r>
      <w:r>
        <w:rPr>
          <w:rFonts w:hint="eastAsia"/>
          <w:lang w:eastAsia="zh-CN"/>
        </w:rPr>
        <w:t>附件资料</w:t>
      </w:r>
      <w:bookmarkEnd w:id="646"/>
    </w:p>
    <w:p>
      <w:pPr>
        <w:numPr>
          <w:ilvl w:val="0"/>
          <w:numId w:val="0"/>
        </w:numPr>
        <w:spacing w:before="75" w:line="390" w:lineRule="auto"/>
        <w:ind w:right="18" w:rightChars="0"/>
        <w:rPr>
          <w:rFonts w:hint="eastAsia" w:ascii="宋体" w:hAnsi="宋体" w:eastAsia="宋体" w:cs="宋体"/>
          <w:spacing w:val="14"/>
          <w:sz w:val="24"/>
          <w:szCs w:val="24"/>
          <w:lang w:eastAsia="zh-CN"/>
        </w:rPr>
      </w:pPr>
      <w:r>
        <w:rPr>
          <w:rFonts w:hint="eastAsia" w:ascii="宋体" w:hAnsi="宋体" w:eastAsia="宋体" w:cs="宋体"/>
          <w:spacing w:val="14"/>
          <w:sz w:val="24"/>
          <w:szCs w:val="24"/>
          <w:lang w:eastAsia="zh-CN"/>
        </w:rPr>
        <w:t>详见附件</w:t>
      </w:r>
      <w:r>
        <w:rPr>
          <w:rFonts w:hint="eastAsia" w:ascii="宋体" w:hAnsi="宋体" w:eastAsia="宋体" w:cs="宋体"/>
          <w:spacing w:val="14"/>
          <w:sz w:val="24"/>
          <w:szCs w:val="24"/>
          <w:lang w:val="en-US" w:eastAsia="zh-CN"/>
        </w:rPr>
        <w:t>1</w:t>
      </w:r>
      <w:r>
        <w:rPr>
          <w:rFonts w:hint="eastAsia" w:ascii="宋体" w:hAnsi="宋体" w:eastAsia="宋体" w:cs="宋体"/>
          <w:spacing w:val="14"/>
          <w:sz w:val="24"/>
          <w:szCs w:val="24"/>
          <w:lang w:eastAsia="zh-CN"/>
        </w:rPr>
        <w:t>。</w:t>
      </w:r>
    </w:p>
    <w:p>
      <w:pPr>
        <w:rPr>
          <w:rFonts w:hint="eastAsia" w:ascii="宋体" w:hAnsi="宋体" w:eastAsia="宋体" w:cs="宋体"/>
          <w:b w:val="0"/>
          <w:bCs w:val="0"/>
          <w:spacing w:val="14"/>
          <w:sz w:val="24"/>
          <w:szCs w:val="24"/>
          <w:highlight w:val="none"/>
          <w:lang w:eastAsia="zh-CN"/>
        </w:rPr>
      </w:pPr>
      <w:bookmarkStart w:id="647" w:name="_GoBack"/>
      <w:bookmarkEnd w:id="647"/>
    </w:p>
    <w:sectPr>
      <w:headerReference r:id="rId16" w:type="default"/>
      <w:footerReference r:id="rId17" w:type="default"/>
      <w:pgSz w:w="11906" w:h="16839"/>
      <w:pgMar w:top="400" w:right="1067" w:bottom="400" w:left="957" w:header="0" w:footer="0"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225" w:lineRule="auto"/>
      <w:ind w:left="3315"/>
      <w:rPr>
        <w:rFonts w:ascii="宋体" w:hAnsi="宋体" w:eastAsia="宋体" w:cs="宋体"/>
        <w:sz w:val="29"/>
        <w:szCs w:val="2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828"/>
      <w:rPr>
        <w:rFonts w:ascii="Times New Roman" w:hAnsi="Times New Roman" w:eastAsia="Times New Roman" w:cs="Times New Roman"/>
        <w:sz w:val="17"/>
        <w:szCs w:val="17"/>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828"/>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79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79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auto"/>
      <w:ind w:left="4794"/>
      <w:rPr>
        <w:rFonts w:ascii="Times New Roman" w:hAnsi="Times New Roman" w:eastAsia="Times New Roman" w:cs="Times New Roman"/>
        <w:sz w:val="17"/>
        <w:szCs w:val="17"/>
      </w:rPr>
    </w:pPr>
    <w:r>
      <w:rPr>
        <w:sz w:val="17"/>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21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pict>
        <v:shape id="WordPictureWatermark1" o:spid="_x0000_s4097" o:spt="75" type="#_x0000_t75" style="position:absolute;left:0pt;margin-left:90pt;margin-top:358.8pt;height:124.25pt;width:415.35pt;mso-position-horizontal-relative:page;mso-position-vertical-relative:page;z-index:-251657216;mso-width-relative:page;mso-height-relative:page;" filled="f" stroked="f" coordsize="21600,21600" o:allowincell="f">
          <v:path/>
          <v:fill on="f" focussize="0,0"/>
          <v:stroke on="f"/>
          <v:imagedata r:id="rId1" o:title=""/>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pict>
        <v:shape id="WordPictureWatermark3" o:spid="_x0000_s4098" o:spt="75" type="#_x0000_t75" style="position:absolute;left:0pt;margin-left:90pt;margin-top:358.8pt;height:124.25pt;width:415.35pt;mso-position-horizontal-relative:page;mso-position-vertical-relative:page;z-index:-251656192;mso-width-relative:page;mso-height-relative:page;" filled="f" stroked="f" coordsize="21600,21600" o:allowincell="f">
          <v:path/>
          <v:fill on="f" focussize="0,0"/>
          <v:stroke on="f"/>
          <v:imagedata r:id="rId1" o:title=""/>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pict>
        <v:shape id="WordPictureWatermark12" o:spid="_x0000_s4099" o:spt="75" type="#_x0000_t75" style="position:absolute;left:0pt;margin-left:90pt;margin-top:358.8pt;height:124.25pt;width:415.35pt;mso-position-horizontal-relative:page;mso-position-vertical-relative:page;z-index:-251655168;mso-width-relative:page;mso-height-relative:page;" filled="f" stroked="f" coordsize="21600,21600" o:allowincell="f">
          <v:path/>
          <v:fill on="f" focussize="0,0"/>
          <v:stroke on="f"/>
          <v:imagedata r:id="rId1" o:title=""/>
          <o:lock v:ext="edit" aspectratio="t"/>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drawing>
        <wp:anchor distT="0" distB="0" distL="114300" distR="114300" simplePos="0" relativeHeight="251661312" behindDoc="1" locked="0" layoutInCell="0" allowOverlap="1">
          <wp:simplePos x="0" y="0"/>
          <wp:positionH relativeFrom="page">
            <wp:posOffset>1143000</wp:posOffset>
          </wp:positionH>
          <wp:positionV relativeFrom="page">
            <wp:posOffset>4556760</wp:posOffset>
          </wp:positionV>
          <wp:extent cx="5274945" cy="1577975"/>
          <wp:effectExtent l="0" t="0" r="8255" b="9525"/>
          <wp:wrapNone/>
          <wp:docPr id="3" name="WordPictureWatermark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12"/>
                  <pic:cNvPicPr>
                    <a:picLocks noChangeAspect="1"/>
                  </pic:cNvPicPr>
                </pic:nvPicPr>
                <pic:blipFill>
                  <a:blip r:embed="rId1"/>
                  <a:stretch>
                    <a:fillRect/>
                  </a:stretch>
                </pic:blipFill>
                <pic:spPr>
                  <a:xfrm>
                    <a:off x="0" y="0"/>
                    <a:ext cx="5274945" cy="1577975"/>
                  </a:xfrm>
                  <a:prstGeom prst="rect">
                    <a:avLst/>
                  </a:prstGeom>
                  <a:noFill/>
                  <a:ln>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drawing>
        <wp:anchor distT="0" distB="0" distL="114300" distR="114300" simplePos="0" relativeHeight="251661312" behindDoc="1" locked="0" layoutInCell="0" allowOverlap="1">
          <wp:simplePos x="0" y="0"/>
          <wp:positionH relativeFrom="page">
            <wp:posOffset>1143000</wp:posOffset>
          </wp:positionH>
          <wp:positionV relativeFrom="page">
            <wp:posOffset>4556760</wp:posOffset>
          </wp:positionV>
          <wp:extent cx="5274945" cy="1577975"/>
          <wp:effectExtent l="0" t="0" r="8255" b="9525"/>
          <wp:wrapNone/>
          <wp:docPr id="6" name="WordPictureWatermark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12"/>
                  <pic:cNvPicPr>
                    <a:picLocks noChangeAspect="1"/>
                  </pic:cNvPicPr>
                </pic:nvPicPr>
                <pic:blipFill>
                  <a:blip r:embed="rId1"/>
                  <a:stretch>
                    <a:fillRect/>
                  </a:stretch>
                </pic:blipFill>
                <pic:spPr>
                  <a:xfrm>
                    <a:off x="0" y="0"/>
                    <a:ext cx="5274945" cy="1577975"/>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pict>
        <v:shape id="WordPictureWatermark52" o:spid="_x0000_s4100" o:spt="75" type="#_x0000_t75" style="position:absolute;left:0pt;margin-left:90pt;margin-top:358.8pt;height:124.25pt;width:415.35pt;mso-position-horizontal-relative:page;mso-position-vertical-relative:page;z-index:-251652096;mso-width-relative:page;mso-height-relative:page;" filled="f" stroked="f" coordsize="21600,21600" o:allowincell="f">
          <v:path/>
          <v:fill on="f" focussize="0,0"/>
          <v:stroke on="f"/>
          <v:imagedata r:id="rId1" o:title=""/>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2Q4YjU1Nzc5MjJjYzYxZTI0YTAzYjAwMTM2Y2Y0NzQifQ=="/>
  </w:docVars>
  <w:rsids>
    <w:rsidRoot w:val="00000000"/>
    <w:rsid w:val="00D6759B"/>
    <w:rsid w:val="0187402D"/>
    <w:rsid w:val="029A7D90"/>
    <w:rsid w:val="030D0562"/>
    <w:rsid w:val="035838D2"/>
    <w:rsid w:val="03A84C81"/>
    <w:rsid w:val="053376DE"/>
    <w:rsid w:val="058A39EA"/>
    <w:rsid w:val="05D94A6C"/>
    <w:rsid w:val="07D03F10"/>
    <w:rsid w:val="09644DBB"/>
    <w:rsid w:val="0C352AE4"/>
    <w:rsid w:val="0C5C29FC"/>
    <w:rsid w:val="0CB9509C"/>
    <w:rsid w:val="0CC779D3"/>
    <w:rsid w:val="0D272220"/>
    <w:rsid w:val="0D3C61D4"/>
    <w:rsid w:val="0D484C46"/>
    <w:rsid w:val="0D4F13B5"/>
    <w:rsid w:val="0D95362E"/>
    <w:rsid w:val="0E855450"/>
    <w:rsid w:val="0E9A54EA"/>
    <w:rsid w:val="0EA02BE1"/>
    <w:rsid w:val="0EB048E9"/>
    <w:rsid w:val="101B2705"/>
    <w:rsid w:val="10A342B4"/>
    <w:rsid w:val="137D703E"/>
    <w:rsid w:val="13E62E35"/>
    <w:rsid w:val="15020CEC"/>
    <w:rsid w:val="15757BE7"/>
    <w:rsid w:val="168B1A72"/>
    <w:rsid w:val="16AD7E42"/>
    <w:rsid w:val="16E52CA7"/>
    <w:rsid w:val="17AF53E5"/>
    <w:rsid w:val="184719C8"/>
    <w:rsid w:val="18DB79D7"/>
    <w:rsid w:val="19200B7C"/>
    <w:rsid w:val="1B6B3168"/>
    <w:rsid w:val="1B970EB9"/>
    <w:rsid w:val="1C1442B7"/>
    <w:rsid w:val="1C1D6ECC"/>
    <w:rsid w:val="1C4C08FC"/>
    <w:rsid w:val="1E9851A1"/>
    <w:rsid w:val="20564C98"/>
    <w:rsid w:val="20775372"/>
    <w:rsid w:val="20D85D6E"/>
    <w:rsid w:val="221A6F3B"/>
    <w:rsid w:val="23095068"/>
    <w:rsid w:val="23EC0AE7"/>
    <w:rsid w:val="24842413"/>
    <w:rsid w:val="24DC231A"/>
    <w:rsid w:val="25F52A64"/>
    <w:rsid w:val="26997075"/>
    <w:rsid w:val="26AF5308"/>
    <w:rsid w:val="26C35B7A"/>
    <w:rsid w:val="2815340C"/>
    <w:rsid w:val="29941D85"/>
    <w:rsid w:val="2CAA4033"/>
    <w:rsid w:val="2E2347CE"/>
    <w:rsid w:val="2F2F348A"/>
    <w:rsid w:val="2F4D1B62"/>
    <w:rsid w:val="306C7DC6"/>
    <w:rsid w:val="318B6972"/>
    <w:rsid w:val="328119CD"/>
    <w:rsid w:val="339231DD"/>
    <w:rsid w:val="3449556D"/>
    <w:rsid w:val="35BC0C8D"/>
    <w:rsid w:val="35E17638"/>
    <w:rsid w:val="361561E2"/>
    <w:rsid w:val="36F47B2C"/>
    <w:rsid w:val="37DA6487"/>
    <w:rsid w:val="381F0608"/>
    <w:rsid w:val="38A80783"/>
    <w:rsid w:val="39A768AB"/>
    <w:rsid w:val="39B03221"/>
    <w:rsid w:val="39E97526"/>
    <w:rsid w:val="3A68616A"/>
    <w:rsid w:val="3A7765C8"/>
    <w:rsid w:val="3B2C4F0C"/>
    <w:rsid w:val="3B985F13"/>
    <w:rsid w:val="3B9D352A"/>
    <w:rsid w:val="3C2D6FA3"/>
    <w:rsid w:val="3D1837B0"/>
    <w:rsid w:val="3D560D03"/>
    <w:rsid w:val="3DB22514"/>
    <w:rsid w:val="3EA352FB"/>
    <w:rsid w:val="3EF606F7"/>
    <w:rsid w:val="3F5C215F"/>
    <w:rsid w:val="3F8407DA"/>
    <w:rsid w:val="400718BA"/>
    <w:rsid w:val="406311E6"/>
    <w:rsid w:val="40721429"/>
    <w:rsid w:val="40763AEB"/>
    <w:rsid w:val="40E74809"/>
    <w:rsid w:val="4453546D"/>
    <w:rsid w:val="45F80074"/>
    <w:rsid w:val="464B2CF8"/>
    <w:rsid w:val="479C6E13"/>
    <w:rsid w:val="48993920"/>
    <w:rsid w:val="48AE6D76"/>
    <w:rsid w:val="48B02852"/>
    <w:rsid w:val="4A431964"/>
    <w:rsid w:val="4B0F4A62"/>
    <w:rsid w:val="4B644064"/>
    <w:rsid w:val="4BBE277F"/>
    <w:rsid w:val="4C365357"/>
    <w:rsid w:val="4E281379"/>
    <w:rsid w:val="4E74636C"/>
    <w:rsid w:val="4F6967E5"/>
    <w:rsid w:val="506643DA"/>
    <w:rsid w:val="525A40B8"/>
    <w:rsid w:val="52DD61F2"/>
    <w:rsid w:val="541E135D"/>
    <w:rsid w:val="54A84FC1"/>
    <w:rsid w:val="550F2A82"/>
    <w:rsid w:val="57523725"/>
    <w:rsid w:val="5A3A490E"/>
    <w:rsid w:val="5A5F4CB3"/>
    <w:rsid w:val="5B355A59"/>
    <w:rsid w:val="5BCA1CC1"/>
    <w:rsid w:val="5CD91247"/>
    <w:rsid w:val="5CF1631B"/>
    <w:rsid w:val="5CF24F00"/>
    <w:rsid w:val="5D300DA0"/>
    <w:rsid w:val="5E3C52E2"/>
    <w:rsid w:val="5E4869E3"/>
    <w:rsid w:val="62483940"/>
    <w:rsid w:val="62606EDB"/>
    <w:rsid w:val="62AE40EB"/>
    <w:rsid w:val="62EC519E"/>
    <w:rsid w:val="64A30288"/>
    <w:rsid w:val="668B029F"/>
    <w:rsid w:val="66963E6A"/>
    <w:rsid w:val="66A575B3"/>
    <w:rsid w:val="66F8358B"/>
    <w:rsid w:val="67863B78"/>
    <w:rsid w:val="67EE0AE5"/>
    <w:rsid w:val="6A415844"/>
    <w:rsid w:val="6AB45E62"/>
    <w:rsid w:val="6C3557A5"/>
    <w:rsid w:val="6C55227A"/>
    <w:rsid w:val="6D9F7933"/>
    <w:rsid w:val="6DA67019"/>
    <w:rsid w:val="6E11552E"/>
    <w:rsid w:val="6E970129"/>
    <w:rsid w:val="6EC72090"/>
    <w:rsid w:val="70D772D8"/>
    <w:rsid w:val="7101539C"/>
    <w:rsid w:val="747A5318"/>
    <w:rsid w:val="7487654A"/>
    <w:rsid w:val="769E7B7B"/>
    <w:rsid w:val="76CA37DB"/>
    <w:rsid w:val="76FD0144"/>
    <w:rsid w:val="773D2D4F"/>
    <w:rsid w:val="78B13B95"/>
    <w:rsid w:val="78DF7AF5"/>
    <w:rsid w:val="78E765C5"/>
    <w:rsid w:val="79222CE5"/>
    <w:rsid w:val="793B3DA7"/>
    <w:rsid w:val="7AA9525F"/>
    <w:rsid w:val="7B5551A9"/>
    <w:rsid w:val="7B91773C"/>
    <w:rsid w:val="7BD163AB"/>
    <w:rsid w:val="7C30396B"/>
    <w:rsid w:val="7E17093E"/>
    <w:rsid w:val="7E1C7D03"/>
    <w:rsid w:val="7E3C65F7"/>
    <w:rsid w:val="7E9712AE"/>
    <w:rsid w:val="7F973E3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toc 3"/>
    <w:basedOn w:val="1"/>
    <w:next w:val="1"/>
    <w:qFormat/>
    <w:uiPriority w:val="0"/>
    <w:pPr>
      <w:ind w:left="840" w:leftChars="400"/>
    </w:pPr>
  </w:style>
  <w:style w:type="paragraph" w:styleId="4">
    <w:name w:val="footer"/>
    <w:basedOn w:val="1"/>
    <w:qFormat/>
    <w:uiPriority w:val="0"/>
    <w:pPr>
      <w:snapToGrid w:val="0"/>
      <w:ind w:right="210" w:rightChars="100"/>
      <w:jc w:val="right"/>
    </w:pPr>
    <w:rPr>
      <w:sz w:val="18"/>
      <w:szCs w:val="18"/>
    </w:rPr>
  </w:style>
  <w:style w:type="paragraph" w:styleId="5">
    <w:name w:val="toc 1"/>
    <w:basedOn w:val="1"/>
    <w:next w:val="1"/>
    <w:qFormat/>
    <w:uiPriority w:val="0"/>
  </w:style>
  <w:style w:type="paragraph" w:styleId="6">
    <w:name w:val="toc 2"/>
    <w:basedOn w:val="1"/>
    <w:next w:val="1"/>
    <w:qFormat/>
    <w:uiPriority w:val="0"/>
    <w:pPr>
      <w:ind w:left="420" w:leftChars="200"/>
    </w:pPr>
  </w:style>
  <w:style w:type="table" w:customStyle="1" w:styleId="9">
    <w:name w:val="Table Normal"/>
    <w:semiHidden/>
    <w:unhideWhenUsed/>
    <w:qFormat/>
    <w:uiPriority w:val="0"/>
    <w:tblPr>
      <w:tblCellMar>
        <w:top w:w="0" w:type="dxa"/>
        <w:left w:w="0" w:type="dxa"/>
        <w:bottom w:w="0" w:type="dxa"/>
        <w:right w:w="0" w:type="dxa"/>
      </w:tblCellMar>
    </w:tblPr>
  </w:style>
  <w:style w:type="character" w:customStyle="1" w:styleId="10">
    <w:name w:val="font21"/>
    <w:basedOn w:val="8"/>
    <w:qFormat/>
    <w:uiPriority w:val="0"/>
    <w:rPr>
      <w:rFonts w:hint="eastAsia" w:ascii="宋体" w:hAnsi="宋体" w:eastAsia="宋体" w:cs="宋体"/>
      <w:color w:val="000000"/>
      <w:sz w:val="18"/>
      <w:szCs w:val="18"/>
      <w:u w:val="none"/>
    </w:rPr>
  </w:style>
  <w:style w:type="character" w:customStyle="1" w:styleId="11">
    <w:name w:val="font51"/>
    <w:basedOn w:val="8"/>
    <w:qFormat/>
    <w:uiPriority w:val="0"/>
    <w:rPr>
      <w:rFonts w:hint="eastAsia" w:ascii="宋体" w:hAnsi="宋体" w:eastAsia="宋体" w:cs="宋体"/>
      <w:color w:val="000000"/>
      <w:sz w:val="9"/>
      <w:szCs w:val="9"/>
      <w:u w:val="none"/>
    </w:rPr>
  </w:style>
  <w:style w:type="character" w:customStyle="1" w:styleId="12">
    <w:name w:val="font31"/>
    <w:basedOn w:val="8"/>
    <w:qFormat/>
    <w:uiPriority w:val="0"/>
    <w:rPr>
      <w:rFonts w:hint="eastAsia" w:ascii="宋体" w:hAnsi="宋体" w:eastAsia="宋体" w:cs="宋体"/>
      <w:color w:val="000000"/>
      <w:sz w:val="20"/>
      <w:szCs w:val="20"/>
      <w:u w:val="none"/>
    </w:rPr>
  </w:style>
  <w:style w:type="character" w:customStyle="1" w:styleId="13">
    <w:name w:val="font91"/>
    <w:basedOn w:val="8"/>
    <w:qFormat/>
    <w:uiPriority w:val="0"/>
    <w:rPr>
      <w:rFonts w:hint="eastAsia" w:ascii="宋体" w:hAnsi="宋体" w:eastAsia="宋体" w:cs="宋体"/>
      <w:color w:val="000000"/>
      <w:sz w:val="20"/>
      <w:szCs w:val="20"/>
      <w:u w:val="none"/>
      <w:vertAlign w:val="superscript"/>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3"/>
    <w:qFormat/>
    <w:uiPriority w:val="0"/>
    <w:pPr>
      <w:ind w:leftChars="40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character" w:customStyle="1" w:styleId="17">
    <w:name w:val="font71"/>
    <w:basedOn w:val="8"/>
    <w:qFormat/>
    <w:uiPriority w:val="0"/>
    <w:rPr>
      <w:rFonts w:hint="eastAsia" w:ascii="宋体" w:hAnsi="宋体" w:eastAsia="宋体" w:cs="宋体"/>
      <w:color w:val="000000"/>
      <w:sz w:val="18"/>
      <w:szCs w:val="18"/>
      <w:u w:val="none"/>
    </w:rPr>
  </w:style>
  <w:style w:type="character" w:customStyle="1" w:styleId="18">
    <w:name w:val="font61"/>
    <w:basedOn w:val="8"/>
    <w:qFormat/>
    <w:uiPriority w:val="0"/>
    <w:rPr>
      <w:rFonts w:hint="eastAsia" w:ascii="宋体" w:hAnsi="宋体" w:eastAsia="宋体" w:cs="宋体"/>
      <w:color w:val="000000"/>
      <w:sz w:val="20"/>
      <w:szCs w:val="20"/>
      <w:u w:val="none"/>
    </w:rPr>
  </w:style>
  <w:style w:type="character" w:customStyle="1" w:styleId="19">
    <w:name w:val="font11"/>
    <w:basedOn w:val="8"/>
    <w:qFormat/>
    <w:uiPriority w:val="0"/>
    <w:rPr>
      <w:rFonts w:hint="eastAsia" w:ascii="宋体" w:hAnsi="宋体" w:eastAsia="宋体" w:cs="宋体"/>
      <w:color w:val="000000"/>
      <w:sz w:val="18"/>
      <w:szCs w:val="18"/>
      <w:u w:val="none"/>
    </w:rPr>
  </w:style>
  <w:style w:type="character" w:customStyle="1" w:styleId="20">
    <w:name w:val="font41"/>
    <w:basedOn w:val="8"/>
    <w:qFormat/>
    <w:uiPriority w:val="0"/>
    <w:rPr>
      <w:rFonts w:hint="eastAsia" w:ascii="宋体" w:hAnsi="宋体" w:eastAsia="宋体" w:cs="宋体"/>
      <w:color w:val="000000"/>
      <w:sz w:val="20"/>
      <w:szCs w:val="20"/>
      <w:u w:val="none"/>
    </w:rPr>
  </w:style>
  <w:style w:type="character" w:customStyle="1" w:styleId="21">
    <w:name w:val="font01"/>
    <w:basedOn w:val="8"/>
    <w:qFormat/>
    <w:uiPriority w:val="0"/>
    <w:rPr>
      <w:rFonts w:hint="eastAsia" w:ascii="宋体" w:hAnsi="宋体" w:eastAsia="宋体" w:cs="宋体"/>
      <w:color w:val="000000"/>
      <w:sz w:val="20"/>
      <w:szCs w:val="20"/>
      <w:u w:val="none"/>
      <w:vertAlign w:val="superscript"/>
    </w:rPr>
  </w:style>
  <w:style w:type="character" w:customStyle="1" w:styleId="22">
    <w:name w:val="font101"/>
    <w:basedOn w:val="8"/>
    <w:qFormat/>
    <w:uiPriority w:val="0"/>
    <w:rPr>
      <w:rFonts w:hint="default" w:ascii="Times New Roman" w:hAnsi="Times New Roman" w:cs="Times New Roman"/>
      <w:color w:val="000000"/>
      <w:sz w:val="14"/>
      <w:szCs w:val="14"/>
      <w:u w:val="none"/>
    </w:rPr>
  </w:style>
  <w:style w:type="character" w:customStyle="1" w:styleId="23">
    <w:name w:val="font81"/>
    <w:basedOn w:val="8"/>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3.png"/><Relationship Id="rId21" Type="http://schemas.openxmlformats.org/officeDocument/2006/relationships/oleObject" Target="embeddings/oleObject2.bin"/><Relationship Id="rId20" Type="http://schemas.openxmlformats.org/officeDocument/2006/relationships/image" Target="media/image2.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header" Target="header6.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4097"/>
    <customShpInfo spid="_x0000_s4098"/>
    <customShpInfo spid="_x0000_s1026" textRotate="1"/>
    <customShpInfo spid="_x0000_s4099"/>
    <customShpInfo spid="_x0000_s410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117</Pages>
  <Words>80522</Words>
  <Characters>85001</Characters>
  <TotalTime>15</TotalTime>
  <ScaleCrop>false</ScaleCrop>
  <LinksUpToDate>false</LinksUpToDate>
  <CharactersWithSpaces>86996</CharactersWithSpaces>
  <Application>WPS Office_12.1.0.16929_F1E327BC-269C-435d-A152-05C5408002CA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2021-12-29T16:04:00Z</dcterms:created>
  <dc:creator>微软中国</dc:creator>
  <cp:lastModifiedBy>小黑</cp:lastModifiedBy>
  <dcterms:modified xsi:type="dcterms:W3CDTF">2024-12-04T08:52:05Z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2022-07-29T15:39:18Z</vt:filetime>
  </property>
  <property fmtid="{D5CDD505-2E9C-101B-9397-08002B2CF9AE}" pid="4" name="KSOProductBuildVer">
    <vt:lpwstr>2052-12.1.0.16929</vt:lpwstr>
  </property>
  <property fmtid="{D5CDD505-2E9C-101B-9397-08002B2CF9AE}" pid="5" name="ICV">
    <vt:lpwstr>72BB269AB56C4A36BE6B14C661C8E469</vt:lpwstr>
  </property>
</Properties>
</file>