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before="169" w:line="220" w:lineRule="auto"/>
        <w:jc w:val="center"/>
        <w:rPr>
          <w:rFonts w:ascii="宋体" w:hAnsi="宋体" w:eastAsia="宋体" w:cs="宋体"/>
          <w:sz w:val="52"/>
          <w:szCs w:val="52"/>
        </w:rPr>
      </w:pPr>
      <w:r>
        <w:rPr>
          <w:rFonts w:hint="eastAsia" w:ascii="宋体" w:hAnsi="宋体" w:eastAsia="宋体" w:cs="宋体"/>
          <w:sz w:val="52"/>
          <w:szCs w:val="52"/>
          <w:highlight w:val="none"/>
          <w:lang w:val="en-US" w:eastAsia="zh-CN"/>
          <w14:textOutline w14:w="9461" w14:cap="sq" w14:cmpd="sng">
            <w14:solidFill>
              <w14:srgbClr w14:val="000000"/>
            </w14:solidFill>
            <w14:prstDash w14:val="solid"/>
            <w14:bevel/>
          </w14:textOutline>
        </w:rPr>
        <w:t>第三</w:t>
      </w:r>
      <w:r>
        <w:rPr>
          <w:rFonts w:hint="eastAsia" w:ascii="宋体" w:hAnsi="宋体" w:eastAsia="宋体" w:cs="宋体"/>
          <w:sz w:val="52"/>
          <w:szCs w:val="52"/>
          <w:highlight w:val="none"/>
          <w:lang w:eastAsia="zh-CN"/>
          <w14:textOutline w14:w="9461" w14:cap="sq" w14:cmpd="sng">
            <w14:solidFill>
              <w14:srgbClr w14:val="000000"/>
            </w14:solidFill>
            <w14:prstDash w14:val="solid"/>
            <w14:bevel/>
          </w14:textOutline>
        </w:rPr>
        <w:t>届全国大学生</w:t>
      </w:r>
      <w:r>
        <w:rPr>
          <w:rFonts w:hint="eastAsia" w:ascii="宋体" w:hAnsi="宋体" w:eastAsia="宋体" w:cs="宋体"/>
          <w:sz w:val="52"/>
          <w:szCs w:val="52"/>
          <w:highlight w:val="none"/>
          <w:lang w:val="en-US" w:eastAsia="zh-CN"/>
          <w14:textOutline w14:w="9461" w14:cap="sq" w14:cmpd="sng">
            <w14:solidFill>
              <w14:srgbClr w14:val="000000"/>
            </w14:solidFill>
            <w14:prstDash w14:val="solid"/>
            <w14:bevel/>
          </w14:textOutline>
        </w:rPr>
        <w:t>公路工程计量与支付技能竞赛</w:t>
      </w:r>
      <w:r>
        <w:rPr>
          <w:rFonts w:hint="eastAsia" w:ascii="宋体" w:hAnsi="宋体" w:eastAsia="宋体" w:cs="宋体"/>
          <w:sz w:val="52"/>
          <w:szCs w:val="52"/>
          <w:lang w:val="en-US" w:eastAsia="zh-CN"/>
          <w14:textOutline w14:w="9461" w14:cap="sq" w14:cmpd="sng">
            <w14:solidFill>
              <w14:srgbClr w14:val="000000"/>
            </w14:solidFill>
            <w14:prstDash w14:val="solid"/>
            <w14:bevel/>
          </w14:textOutline>
        </w:rPr>
        <w:t>-案例6（公路）</w:t>
      </w: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before="97" w:line="624" w:lineRule="exact"/>
        <w:ind w:firstLine="2223"/>
        <w:outlineLvl w:val="0"/>
        <w:rPr>
          <w:rFonts w:ascii="宋体" w:hAnsi="宋体" w:eastAsia="宋体" w:cs="宋体"/>
          <w:sz w:val="30"/>
          <w:szCs w:val="30"/>
        </w:rPr>
      </w:pPr>
      <w:bookmarkStart w:id="0" w:name="_Toc274"/>
      <w:bookmarkStart w:id="1" w:name="_Toc14747"/>
      <w:r>
        <w:rPr>
          <w:rFonts w:ascii="宋体" w:hAnsi="宋体" w:eastAsia="宋体" w:cs="宋体"/>
          <w:position w:val="24"/>
          <w:sz w:val="30"/>
          <w:szCs w:val="30"/>
          <w14:textOutline w14:w="5448" w14:cap="sq" w14:cmpd="sng">
            <w14:solidFill>
              <w14:srgbClr w14:val="000000"/>
            </w14:solidFill>
            <w14:prstDash w14:val="solid"/>
            <w14:bevel/>
          </w14:textOutline>
        </w:rPr>
        <w:t>长沙计支宝信息科技有限公司</w:t>
      </w:r>
      <w:bookmarkEnd w:id="0"/>
      <w:bookmarkEnd w:id="1"/>
    </w:p>
    <w:p>
      <w:pPr>
        <w:spacing w:line="204" w:lineRule="auto"/>
        <w:ind w:firstLine="3315"/>
        <w:rPr>
          <w:rFonts w:ascii="宋体" w:hAnsi="宋体" w:eastAsia="宋体" w:cs="宋体"/>
          <w:sz w:val="30"/>
          <w:szCs w:val="30"/>
        </w:rPr>
      </w:pPr>
      <w:r>
        <w:rPr>
          <w:rFonts w:ascii="宋体" w:hAnsi="宋体" w:eastAsia="宋体" w:cs="宋体"/>
          <w:spacing w:val="-8"/>
          <w:sz w:val="30"/>
          <w:szCs w:val="30"/>
          <w14:textOutline w14:w="5448" w14:cap="sq" w14:cmpd="sng">
            <w14:solidFill>
              <w14:srgbClr w14:val="000000"/>
            </w14:solidFill>
            <w14:prstDash w14:val="solid"/>
            <w14:bevel/>
          </w14:textOutline>
        </w:rPr>
        <w:t>20</w:t>
      </w:r>
      <w:r>
        <w:rPr>
          <w:rFonts w:hint="eastAsia" w:ascii="宋体" w:hAnsi="宋体" w:eastAsia="宋体" w:cs="宋体"/>
          <w:spacing w:val="-8"/>
          <w:sz w:val="30"/>
          <w:szCs w:val="30"/>
          <w:lang w:val="en-US" w:eastAsia="zh-CN"/>
          <w14:textOutline w14:w="5448" w14:cap="sq" w14:cmpd="sng">
            <w14:solidFill>
              <w14:srgbClr w14:val="000000"/>
            </w14:solidFill>
            <w14:prstDash w14:val="solid"/>
            <w14:bevel/>
          </w14:textOutline>
        </w:rPr>
        <w:t>24</w:t>
      </w:r>
      <w:r>
        <w:rPr>
          <w:rFonts w:ascii="宋体" w:hAnsi="宋体" w:eastAsia="宋体" w:cs="宋体"/>
          <w:spacing w:val="-55"/>
          <w:sz w:val="30"/>
          <w:szCs w:val="30"/>
        </w:rPr>
        <w:t xml:space="preserve"> </w:t>
      </w:r>
      <w:r>
        <w:rPr>
          <w:rFonts w:ascii="宋体" w:hAnsi="宋体" w:eastAsia="宋体" w:cs="宋体"/>
          <w:spacing w:val="-8"/>
          <w:sz w:val="30"/>
          <w:szCs w:val="30"/>
          <w14:textOutline w14:w="5448" w14:cap="sq" w14:cmpd="sng">
            <w14:solidFill>
              <w14:srgbClr w14:val="000000"/>
            </w14:solidFill>
            <w14:prstDash w14:val="solid"/>
            <w14:bevel/>
          </w14:textOutline>
        </w:rPr>
        <w:t>年</w:t>
      </w:r>
      <w:r>
        <w:rPr>
          <w:rFonts w:ascii="宋体" w:hAnsi="宋体" w:eastAsia="宋体" w:cs="宋体"/>
          <w:spacing w:val="-40"/>
          <w:sz w:val="30"/>
          <w:szCs w:val="30"/>
        </w:rPr>
        <w:t xml:space="preserve"> </w:t>
      </w:r>
      <w:r>
        <w:rPr>
          <w:rFonts w:hint="eastAsia" w:ascii="宋体" w:hAnsi="宋体" w:eastAsia="宋体" w:cs="宋体"/>
          <w:spacing w:val="-8"/>
          <w:sz w:val="30"/>
          <w:szCs w:val="30"/>
          <w:lang w:val="en-US" w:eastAsia="zh-CN"/>
          <w14:textOutline w14:w="5448" w14:cap="sq" w14:cmpd="sng">
            <w14:solidFill>
              <w14:srgbClr w14:val="000000"/>
            </w14:solidFill>
            <w14:prstDash w14:val="solid"/>
            <w14:bevel/>
          </w14:textOutline>
        </w:rPr>
        <w:t>10</w:t>
      </w:r>
      <w:r>
        <w:rPr>
          <w:rFonts w:ascii="宋体" w:hAnsi="宋体" w:eastAsia="宋体" w:cs="宋体"/>
          <w:spacing w:val="-40"/>
          <w:sz w:val="30"/>
          <w:szCs w:val="30"/>
        </w:rPr>
        <w:t xml:space="preserve"> </w:t>
      </w:r>
      <w:r>
        <w:rPr>
          <w:rFonts w:ascii="宋体" w:hAnsi="宋体" w:eastAsia="宋体" w:cs="宋体"/>
          <w:spacing w:val="-8"/>
          <w:sz w:val="30"/>
          <w:szCs w:val="30"/>
          <w14:textOutline w14:w="5448" w14:cap="sq" w14:cmpd="sng">
            <w14:solidFill>
              <w14:srgbClr w14:val="000000"/>
            </w14:solidFill>
            <w14:prstDash w14:val="solid"/>
            <w14:bevel/>
          </w14:textOutline>
        </w:rPr>
        <w:t>月</w:t>
      </w:r>
    </w:p>
    <w:p>
      <w:pPr>
        <w:sectPr>
          <w:headerReference r:id="rId5" w:type="default"/>
          <w:footerReference r:id="rId6" w:type="default"/>
          <w:pgSz w:w="11906" w:h="16839"/>
          <w:pgMar w:top="400" w:right="1785" w:bottom="2754" w:left="1785" w:header="0" w:footer="2400" w:gutter="0"/>
          <w:cols w:space="720" w:num="1"/>
        </w:sectPr>
      </w:pPr>
    </w:p>
    <w:p>
      <w:pPr>
        <w:spacing w:line="280" w:lineRule="auto"/>
        <w:rPr>
          <w:rFonts w:ascii="Arial"/>
          <w:sz w:val="21"/>
        </w:rPr>
      </w:pPr>
    </w:p>
    <w:sdt>
      <w:sdtPr>
        <w:rPr>
          <w:rFonts w:ascii="宋体" w:hAnsi="宋体" w:eastAsia="宋体" w:cs="Arial"/>
          <w:snapToGrid w:val="0"/>
          <w:color w:val="000000"/>
          <w:kern w:val="0"/>
          <w:sz w:val="21"/>
          <w:szCs w:val="21"/>
        </w:rPr>
        <w:id w:val="147459390"/>
        <w15:color w:val="DBDBDB"/>
        <w:docPartObj>
          <w:docPartGallery w:val="Table of Contents"/>
          <w:docPartUnique/>
        </w:docPartObj>
      </w:sdtPr>
      <w:sdtEndPr>
        <w:rPr>
          <w:rFonts w:ascii="Arial" w:hAnsi="Arial" w:eastAsia="Arial" w:cs="Arial"/>
          <w:snapToGrid w:val="0"/>
          <w:color w:val="000000"/>
          <w:kern w:val="0"/>
          <w:sz w:val="21"/>
          <w:szCs w:val="21"/>
        </w:rPr>
      </w:sdtEndPr>
      <w:sdtContent>
        <w:p>
          <w:pPr>
            <w:spacing w:before="0" w:beforeLines="0" w:after="0" w:afterLines="0" w:line="240" w:lineRule="auto"/>
            <w:ind w:left="0" w:leftChars="0" w:right="0" w:rightChars="0" w:firstLine="0" w:firstLineChars="0"/>
            <w:jc w:val="center"/>
            <w:rPr>
              <w:rFonts w:ascii="宋体" w:hAnsi="宋体" w:eastAsia="宋体" w:cs="Arial"/>
              <w:snapToGrid w:val="0"/>
              <w:color w:val="000000"/>
              <w:kern w:val="0"/>
              <w:sz w:val="21"/>
              <w:szCs w:val="21"/>
            </w:rPr>
          </w:pPr>
        </w:p>
        <w:p>
          <w:pPr>
            <w:spacing w:before="0" w:beforeLines="0" w:after="0" w:afterLines="0" w:line="240" w:lineRule="auto"/>
            <w:ind w:left="0" w:leftChars="0" w:right="0" w:rightChars="0" w:firstLine="0" w:firstLineChars="0"/>
            <w:jc w:val="center"/>
          </w:pPr>
          <w:r>
            <w:rPr>
              <w:rFonts w:ascii="宋体" w:hAnsi="宋体" w:eastAsia="宋体"/>
              <w:sz w:val="28"/>
              <w:szCs w:val="28"/>
            </w:rPr>
            <w:t>目录</w:t>
          </w:r>
        </w:p>
        <w:p>
          <w:pPr>
            <w:pStyle w:val="5"/>
            <w:tabs>
              <w:tab w:val="right" w:leader="dot" w:pos="9820"/>
            </w:tabs>
          </w:pPr>
          <w:r>
            <w:rPr>
              <w:rFonts w:ascii="Arial"/>
              <w:sz w:val="21"/>
            </w:rPr>
            <w:fldChar w:fldCharType="begin"/>
          </w:r>
          <w:r>
            <w:rPr>
              <w:rFonts w:ascii="Arial"/>
              <w:sz w:val="21"/>
            </w:rPr>
            <w:instrText xml:space="preserve">TOC \o "1-3" \h \u </w:instrText>
          </w:r>
          <w:r>
            <w:rPr>
              <w:rFonts w:ascii="Arial"/>
              <w:sz w:val="21"/>
            </w:rPr>
            <w:fldChar w:fldCharType="separate"/>
          </w:r>
        </w:p>
        <w:p>
          <w:pPr>
            <w:pStyle w:val="3"/>
            <w:keepNext w:val="0"/>
            <w:keepLines w:val="0"/>
            <w:pageBreakBefore w:val="0"/>
            <w:widowControl/>
            <w:tabs>
              <w:tab w:val="right" w:leader="dot" w:pos="9820"/>
            </w:tabs>
            <w:kinsoku w:val="0"/>
            <w:wordWrap/>
            <w:overflowPunct/>
            <w:topLinePunct w:val="0"/>
            <w:autoSpaceDE w:val="0"/>
            <w:autoSpaceDN w:val="0"/>
            <w:bidi w:val="0"/>
            <w:adjustRightInd w:val="0"/>
            <w:snapToGrid w:val="0"/>
            <w:spacing w:line="360" w:lineRule="auto"/>
            <w:ind w:left="0" w:leftChars="0" w:firstLine="0" w:firstLineChars="0"/>
            <w:textAlignment w:val="baseline"/>
            <w:rPr>
              <w:sz w:val="24"/>
              <w:szCs w:val="24"/>
            </w:rPr>
          </w:pPr>
          <w:r>
            <w:rPr>
              <w:rFonts w:ascii="Arial"/>
              <w:sz w:val="24"/>
              <w:szCs w:val="24"/>
            </w:rPr>
            <w:fldChar w:fldCharType="begin"/>
          </w:r>
          <w:r>
            <w:rPr>
              <w:rFonts w:ascii="Arial"/>
              <w:sz w:val="24"/>
              <w:szCs w:val="24"/>
            </w:rPr>
            <w:instrText xml:space="preserve"> HYPERLINK \l _Toc3231 </w:instrText>
          </w:r>
          <w:r>
            <w:rPr>
              <w:rFonts w:ascii="Arial"/>
              <w:sz w:val="24"/>
              <w:szCs w:val="24"/>
            </w:rPr>
            <w:fldChar w:fldCharType="separate"/>
          </w:r>
          <w:r>
            <w:rPr>
              <w:rFonts w:hint="eastAsia" w:ascii="宋体" w:hAnsi="宋体" w:eastAsia="宋体" w:cs="宋体"/>
              <w:sz w:val="24"/>
              <w:szCs w:val="24"/>
            </w:rPr>
            <w:t>一</w:t>
          </w:r>
          <w:r>
            <w:rPr>
              <w:rFonts w:hint="eastAsia" w:ascii="宋体" w:hAnsi="宋体" w:eastAsia="宋体" w:cs="宋体"/>
              <w:sz w:val="24"/>
              <w:szCs w:val="24"/>
              <w:lang w:eastAsia="zh-CN"/>
            </w:rPr>
            <w:t>、</w:t>
          </w:r>
          <w:r>
            <w:rPr>
              <w:rFonts w:hint="eastAsia" w:ascii="宋体" w:hAnsi="宋体" w:eastAsia="宋体" w:cs="宋体"/>
              <w:sz w:val="24"/>
              <w:szCs w:val="24"/>
            </w:rPr>
            <w:t>工程项目概况</w:t>
          </w:r>
          <w:r>
            <w:rPr>
              <w:sz w:val="24"/>
              <w:szCs w:val="24"/>
            </w:rPr>
            <w:tab/>
          </w:r>
          <w:r>
            <w:rPr>
              <w:sz w:val="24"/>
              <w:szCs w:val="24"/>
            </w:rPr>
            <w:fldChar w:fldCharType="begin"/>
          </w:r>
          <w:r>
            <w:rPr>
              <w:sz w:val="24"/>
              <w:szCs w:val="24"/>
            </w:rPr>
            <w:instrText xml:space="preserve"> PAGEREF _Toc3231 \h </w:instrText>
          </w:r>
          <w:r>
            <w:rPr>
              <w:sz w:val="24"/>
              <w:szCs w:val="24"/>
            </w:rPr>
            <w:fldChar w:fldCharType="separate"/>
          </w:r>
          <w:r>
            <w:rPr>
              <w:sz w:val="24"/>
              <w:szCs w:val="24"/>
            </w:rPr>
            <w:t>1</w:t>
          </w:r>
          <w:r>
            <w:rPr>
              <w:sz w:val="24"/>
              <w:szCs w:val="24"/>
            </w:rPr>
            <w:fldChar w:fldCharType="end"/>
          </w:r>
          <w:r>
            <w:rPr>
              <w:rFonts w:ascii="Arial"/>
              <w:sz w:val="24"/>
              <w:szCs w:val="24"/>
            </w:rPr>
            <w:fldChar w:fldCharType="end"/>
          </w:r>
        </w:p>
        <w:p>
          <w:pPr>
            <w:pStyle w:val="3"/>
            <w:keepNext w:val="0"/>
            <w:keepLines w:val="0"/>
            <w:pageBreakBefore w:val="0"/>
            <w:widowControl/>
            <w:tabs>
              <w:tab w:val="right" w:leader="dot" w:pos="9820"/>
            </w:tabs>
            <w:kinsoku w:val="0"/>
            <w:wordWrap/>
            <w:overflowPunct/>
            <w:topLinePunct w:val="0"/>
            <w:autoSpaceDE w:val="0"/>
            <w:autoSpaceDN w:val="0"/>
            <w:bidi w:val="0"/>
            <w:adjustRightInd w:val="0"/>
            <w:snapToGrid w:val="0"/>
            <w:spacing w:line="360" w:lineRule="auto"/>
            <w:ind w:left="0" w:leftChars="0" w:firstLine="0" w:firstLineChars="0"/>
            <w:textAlignment w:val="baseline"/>
            <w:rPr>
              <w:sz w:val="24"/>
              <w:szCs w:val="24"/>
            </w:rPr>
          </w:pPr>
          <w:r>
            <w:rPr>
              <w:rFonts w:ascii="Arial"/>
              <w:sz w:val="24"/>
              <w:szCs w:val="24"/>
            </w:rPr>
            <w:fldChar w:fldCharType="begin"/>
          </w:r>
          <w:r>
            <w:rPr>
              <w:rFonts w:ascii="Arial"/>
              <w:sz w:val="24"/>
              <w:szCs w:val="24"/>
            </w:rPr>
            <w:instrText xml:space="preserve"> HYPERLINK \l _Toc22539 </w:instrText>
          </w:r>
          <w:r>
            <w:rPr>
              <w:rFonts w:ascii="Arial"/>
              <w:sz w:val="24"/>
              <w:szCs w:val="24"/>
            </w:rPr>
            <w:fldChar w:fldCharType="separate"/>
          </w:r>
          <w:r>
            <w:rPr>
              <w:rFonts w:hint="eastAsia" w:ascii="宋体" w:hAnsi="宋体" w:eastAsia="宋体" w:cs="宋体"/>
              <w:sz w:val="24"/>
              <w:szCs w:val="24"/>
            </w:rPr>
            <w:t>二</w:t>
          </w:r>
          <w:r>
            <w:rPr>
              <w:rFonts w:hint="eastAsia" w:ascii="宋体" w:hAnsi="宋体" w:eastAsia="宋体" w:cs="宋体"/>
              <w:sz w:val="24"/>
              <w:szCs w:val="24"/>
              <w:lang w:eastAsia="zh-CN"/>
            </w:rPr>
            <w:t>、</w:t>
          </w:r>
          <w:r>
            <w:rPr>
              <w:rFonts w:hint="eastAsia" w:ascii="宋体" w:hAnsi="宋体" w:eastAsia="宋体" w:cs="宋体"/>
              <w:sz w:val="24"/>
              <w:szCs w:val="24"/>
            </w:rPr>
            <w:t>施工合同</w:t>
          </w:r>
          <w:r>
            <w:rPr>
              <w:sz w:val="24"/>
              <w:szCs w:val="24"/>
            </w:rPr>
            <w:tab/>
          </w:r>
          <w:r>
            <w:rPr>
              <w:sz w:val="24"/>
              <w:szCs w:val="24"/>
            </w:rPr>
            <w:fldChar w:fldCharType="begin"/>
          </w:r>
          <w:r>
            <w:rPr>
              <w:sz w:val="24"/>
              <w:szCs w:val="24"/>
            </w:rPr>
            <w:instrText xml:space="preserve"> PAGEREF _Toc22539 \h </w:instrText>
          </w:r>
          <w:r>
            <w:rPr>
              <w:sz w:val="24"/>
              <w:szCs w:val="24"/>
            </w:rPr>
            <w:fldChar w:fldCharType="separate"/>
          </w:r>
          <w:r>
            <w:rPr>
              <w:sz w:val="24"/>
              <w:szCs w:val="24"/>
            </w:rPr>
            <w:t>2</w:t>
          </w:r>
          <w:r>
            <w:rPr>
              <w:sz w:val="24"/>
              <w:szCs w:val="24"/>
            </w:rPr>
            <w:fldChar w:fldCharType="end"/>
          </w:r>
          <w:r>
            <w:rPr>
              <w:rFonts w:ascii="Arial"/>
              <w:sz w:val="24"/>
              <w:szCs w:val="24"/>
            </w:rPr>
            <w:fldChar w:fldCharType="end"/>
          </w:r>
        </w:p>
        <w:p>
          <w:pPr>
            <w:pStyle w:val="3"/>
            <w:keepNext w:val="0"/>
            <w:keepLines w:val="0"/>
            <w:pageBreakBefore w:val="0"/>
            <w:widowControl/>
            <w:tabs>
              <w:tab w:val="right" w:leader="dot" w:pos="9820"/>
            </w:tabs>
            <w:kinsoku w:val="0"/>
            <w:wordWrap/>
            <w:overflowPunct/>
            <w:topLinePunct w:val="0"/>
            <w:autoSpaceDE w:val="0"/>
            <w:autoSpaceDN w:val="0"/>
            <w:bidi w:val="0"/>
            <w:adjustRightInd w:val="0"/>
            <w:snapToGrid w:val="0"/>
            <w:spacing w:line="360" w:lineRule="auto"/>
            <w:ind w:left="0" w:leftChars="0" w:firstLine="0" w:firstLineChars="0"/>
            <w:textAlignment w:val="baseline"/>
            <w:rPr>
              <w:sz w:val="24"/>
              <w:szCs w:val="24"/>
            </w:rPr>
          </w:pPr>
          <w:r>
            <w:rPr>
              <w:rFonts w:ascii="Arial"/>
              <w:sz w:val="24"/>
              <w:szCs w:val="24"/>
            </w:rPr>
            <w:fldChar w:fldCharType="begin"/>
          </w:r>
          <w:r>
            <w:rPr>
              <w:rFonts w:ascii="Arial"/>
              <w:sz w:val="24"/>
              <w:szCs w:val="24"/>
            </w:rPr>
            <w:instrText xml:space="preserve"> HYPERLINK \l _Toc20995 </w:instrText>
          </w:r>
          <w:r>
            <w:rPr>
              <w:rFonts w:ascii="Arial"/>
              <w:sz w:val="24"/>
              <w:szCs w:val="24"/>
            </w:rPr>
            <w:fldChar w:fldCharType="separate"/>
          </w:r>
          <w:r>
            <w:rPr>
              <w:rFonts w:hint="eastAsia" w:ascii="宋体" w:hAnsi="宋体" w:eastAsia="宋体" w:cs="宋体"/>
              <w:sz w:val="24"/>
              <w:szCs w:val="24"/>
            </w:rPr>
            <w:t>三</w:t>
          </w:r>
          <w:r>
            <w:rPr>
              <w:rFonts w:hint="eastAsia" w:ascii="宋体" w:hAnsi="宋体" w:eastAsia="宋体" w:cs="宋体"/>
              <w:sz w:val="24"/>
              <w:szCs w:val="24"/>
              <w:lang w:eastAsia="zh-CN"/>
            </w:rPr>
            <w:t>、合同工程量清单</w:t>
          </w:r>
          <w:r>
            <w:rPr>
              <w:sz w:val="24"/>
              <w:szCs w:val="24"/>
            </w:rPr>
            <w:tab/>
          </w:r>
          <w:r>
            <w:rPr>
              <w:sz w:val="24"/>
              <w:szCs w:val="24"/>
            </w:rPr>
            <w:fldChar w:fldCharType="begin"/>
          </w:r>
          <w:r>
            <w:rPr>
              <w:sz w:val="24"/>
              <w:szCs w:val="24"/>
            </w:rPr>
            <w:instrText xml:space="preserve"> PAGEREF _Toc20995 \h </w:instrText>
          </w:r>
          <w:r>
            <w:rPr>
              <w:sz w:val="24"/>
              <w:szCs w:val="24"/>
            </w:rPr>
            <w:fldChar w:fldCharType="separate"/>
          </w:r>
          <w:r>
            <w:rPr>
              <w:sz w:val="24"/>
              <w:szCs w:val="24"/>
            </w:rPr>
            <w:t>94</w:t>
          </w:r>
          <w:r>
            <w:rPr>
              <w:sz w:val="24"/>
              <w:szCs w:val="24"/>
            </w:rPr>
            <w:fldChar w:fldCharType="end"/>
          </w:r>
          <w:r>
            <w:rPr>
              <w:rFonts w:ascii="Arial"/>
              <w:sz w:val="24"/>
              <w:szCs w:val="24"/>
            </w:rPr>
            <w:fldChar w:fldCharType="end"/>
          </w:r>
        </w:p>
        <w:p>
          <w:pPr>
            <w:pStyle w:val="3"/>
            <w:keepNext w:val="0"/>
            <w:keepLines w:val="0"/>
            <w:pageBreakBefore w:val="0"/>
            <w:widowControl/>
            <w:tabs>
              <w:tab w:val="right" w:leader="dot" w:pos="9820"/>
            </w:tabs>
            <w:kinsoku w:val="0"/>
            <w:wordWrap/>
            <w:overflowPunct/>
            <w:topLinePunct w:val="0"/>
            <w:autoSpaceDE w:val="0"/>
            <w:autoSpaceDN w:val="0"/>
            <w:bidi w:val="0"/>
            <w:adjustRightInd w:val="0"/>
            <w:snapToGrid w:val="0"/>
            <w:spacing w:line="360" w:lineRule="auto"/>
            <w:ind w:left="0" w:leftChars="0" w:firstLine="0" w:firstLineChars="0"/>
            <w:textAlignment w:val="baseline"/>
            <w:rPr>
              <w:sz w:val="24"/>
              <w:szCs w:val="24"/>
            </w:rPr>
          </w:pPr>
          <w:r>
            <w:rPr>
              <w:rFonts w:ascii="Arial"/>
              <w:sz w:val="24"/>
              <w:szCs w:val="24"/>
            </w:rPr>
            <w:fldChar w:fldCharType="begin"/>
          </w:r>
          <w:r>
            <w:rPr>
              <w:rFonts w:ascii="Arial"/>
              <w:sz w:val="24"/>
              <w:szCs w:val="24"/>
            </w:rPr>
            <w:instrText xml:space="preserve"> HYPERLINK \l _Toc3643 </w:instrText>
          </w:r>
          <w:r>
            <w:rPr>
              <w:rFonts w:ascii="Arial"/>
              <w:sz w:val="24"/>
              <w:szCs w:val="24"/>
            </w:rPr>
            <w:fldChar w:fldCharType="separate"/>
          </w:r>
          <w:r>
            <w:rPr>
              <w:rFonts w:hint="eastAsia" w:ascii="宋体" w:hAnsi="宋体" w:eastAsia="宋体" w:cs="宋体"/>
              <w:sz w:val="24"/>
              <w:szCs w:val="24"/>
              <w:lang w:eastAsia="zh-CN"/>
            </w:rPr>
            <w:t>四、监理合同</w:t>
          </w:r>
          <w:r>
            <w:rPr>
              <w:sz w:val="24"/>
              <w:szCs w:val="24"/>
            </w:rPr>
            <w:tab/>
          </w:r>
          <w:r>
            <w:rPr>
              <w:sz w:val="24"/>
              <w:szCs w:val="24"/>
            </w:rPr>
            <w:fldChar w:fldCharType="begin"/>
          </w:r>
          <w:r>
            <w:rPr>
              <w:sz w:val="24"/>
              <w:szCs w:val="24"/>
            </w:rPr>
            <w:instrText xml:space="preserve"> PAGEREF _Toc3643 \h </w:instrText>
          </w:r>
          <w:r>
            <w:rPr>
              <w:sz w:val="24"/>
              <w:szCs w:val="24"/>
            </w:rPr>
            <w:fldChar w:fldCharType="separate"/>
          </w:r>
          <w:r>
            <w:rPr>
              <w:sz w:val="24"/>
              <w:szCs w:val="24"/>
            </w:rPr>
            <w:t>102</w:t>
          </w:r>
          <w:r>
            <w:rPr>
              <w:sz w:val="24"/>
              <w:szCs w:val="24"/>
            </w:rPr>
            <w:fldChar w:fldCharType="end"/>
          </w:r>
          <w:r>
            <w:rPr>
              <w:rFonts w:ascii="Arial"/>
              <w:sz w:val="24"/>
              <w:szCs w:val="24"/>
            </w:rPr>
            <w:fldChar w:fldCharType="end"/>
          </w:r>
        </w:p>
        <w:p>
          <w:pPr>
            <w:pStyle w:val="3"/>
            <w:keepNext w:val="0"/>
            <w:keepLines w:val="0"/>
            <w:pageBreakBefore w:val="0"/>
            <w:widowControl/>
            <w:tabs>
              <w:tab w:val="right" w:leader="dot" w:pos="9820"/>
            </w:tabs>
            <w:kinsoku w:val="0"/>
            <w:wordWrap/>
            <w:overflowPunct/>
            <w:topLinePunct w:val="0"/>
            <w:autoSpaceDE w:val="0"/>
            <w:autoSpaceDN w:val="0"/>
            <w:bidi w:val="0"/>
            <w:adjustRightInd w:val="0"/>
            <w:snapToGrid w:val="0"/>
            <w:spacing w:line="360" w:lineRule="auto"/>
            <w:ind w:left="0" w:leftChars="0" w:firstLine="0" w:firstLineChars="0"/>
            <w:textAlignment w:val="baseline"/>
            <w:rPr>
              <w:sz w:val="24"/>
              <w:szCs w:val="24"/>
            </w:rPr>
          </w:pPr>
          <w:r>
            <w:rPr>
              <w:rFonts w:ascii="Arial"/>
              <w:sz w:val="24"/>
              <w:szCs w:val="24"/>
            </w:rPr>
            <w:fldChar w:fldCharType="begin"/>
          </w:r>
          <w:r>
            <w:rPr>
              <w:rFonts w:ascii="Arial"/>
              <w:sz w:val="24"/>
              <w:szCs w:val="24"/>
            </w:rPr>
            <w:instrText xml:space="preserve"> HYPERLINK \l _Toc15390 </w:instrText>
          </w:r>
          <w:r>
            <w:rPr>
              <w:rFonts w:ascii="Arial"/>
              <w:sz w:val="24"/>
              <w:szCs w:val="24"/>
            </w:rPr>
            <w:fldChar w:fldCharType="separate"/>
          </w:r>
          <w:r>
            <w:rPr>
              <w:rFonts w:hint="eastAsia" w:ascii="宋体" w:hAnsi="宋体" w:eastAsia="宋体" w:cs="宋体"/>
              <w:sz w:val="24"/>
              <w:szCs w:val="24"/>
            </w:rPr>
            <w:t>五</w:t>
          </w:r>
          <w:r>
            <w:rPr>
              <w:rFonts w:hint="eastAsia" w:ascii="宋体" w:hAnsi="宋体" w:eastAsia="宋体" w:cs="宋体"/>
              <w:sz w:val="24"/>
              <w:szCs w:val="24"/>
              <w:lang w:eastAsia="zh-CN"/>
            </w:rPr>
            <w:t>、变更资料</w:t>
          </w:r>
          <w:r>
            <w:rPr>
              <w:sz w:val="24"/>
              <w:szCs w:val="24"/>
            </w:rPr>
            <w:tab/>
          </w:r>
          <w:r>
            <w:rPr>
              <w:sz w:val="24"/>
              <w:szCs w:val="24"/>
            </w:rPr>
            <w:fldChar w:fldCharType="begin"/>
          </w:r>
          <w:r>
            <w:rPr>
              <w:sz w:val="24"/>
              <w:szCs w:val="24"/>
            </w:rPr>
            <w:instrText xml:space="preserve"> PAGEREF _Toc15390 \h </w:instrText>
          </w:r>
          <w:r>
            <w:rPr>
              <w:sz w:val="24"/>
              <w:szCs w:val="24"/>
            </w:rPr>
            <w:fldChar w:fldCharType="separate"/>
          </w:r>
          <w:r>
            <w:rPr>
              <w:sz w:val="24"/>
              <w:szCs w:val="24"/>
            </w:rPr>
            <w:t>114</w:t>
          </w:r>
          <w:r>
            <w:rPr>
              <w:sz w:val="24"/>
              <w:szCs w:val="24"/>
            </w:rPr>
            <w:fldChar w:fldCharType="end"/>
          </w:r>
          <w:r>
            <w:rPr>
              <w:rFonts w:ascii="Arial"/>
              <w:sz w:val="24"/>
              <w:szCs w:val="24"/>
            </w:rPr>
            <w:fldChar w:fldCharType="end"/>
          </w:r>
        </w:p>
        <w:p>
          <w:pPr>
            <w:pStyle w:val="3"/>
            <w:keepNext w:val="0"/>
            <w:keepLines w:val="0"/>
            <w:pageBreakBefore w:val="0"/>
            <w:widowControl/>
            <w:tabs>
              <w:tab w:val="right" w:leader="dot" w:pos="9820"/>
            </w:tabs>
            <w:kinsoku w:val="0"/>
            <w:wordWrap/>
            <w:overflowPunct/>
            <w:topLinePunct w:val="0"/>
            <w:autoSpaceDE w:val="0"/>
            <w:autoSpaceDN w:val="0"/>
            <w:bidi w:val="0"/>
            <w:adjustRightInd w:val="0"/>
            <w:snapToGrid w:val="0"/>
            <w:spacing w:line="360" w:lineRule="auto"/>
            <w:ind w:left="0" w:leftChars="0" w:firstLine="0" w:firstLineChars="0"/>
            <w:textAlignment w:val="baseline"/>
            <w:rPr>
              <w:sz w:val="24"/>
              <w:szCs w:val="24"/>
            </w:rPr>
          </w:pPr>
          <w:r>
            <w:rPr>
              <w:rFonts w:ascii="Arial"/>
              <w:sz w:val="24"/>
              <w:szCs w:val="24"/>
            </w:rPr>
            <w:fldChar w:fldCharType="begin"/>
          </w:r>
          <w:r>
            <w:rPr>
              <w:rFonts w:ascii="Arial"/>
              <w:sz w:val="24"/>
              <w:szCs w:val="24"/>
            </w:rPr>
            <w:instrText xml:space="preserve"> HYPERLINK \l _Toc16212 </w:instrText>
          </w:r>
          <w:r>
            <w:rPr>
              <w:rFonts w:ascii="Arial"/>
              <w:sz w:val="24"/>
              <w:szCs w:val="24"/>
            </w:rPr>
            <w:fldChar w:fldCharType="separate"/>
          </w:r>
          <w:r>
            <w:rPr>
              <w:rFonts w:hint="eastAsia"/>
              <w:sz w:val="24"/>
              <w:szCs w:val="24"/>
              <w:lang w:eastAsia="zh-CN"/>
            </w:rPr>
            <w:t>六、</w:t>
          </w:r>
          <w:r>
            <w:rPr>
              <w:rFonts w:hint="eastAsia"/>
              <w:sz w:val="24"/>
              <w:szCs w:val="24"/>
              <w:lang w:val="en-US" w:eastAsia="zh-CN"/>
            </w:rPr>
            <w:t>材料调差资料</w:t>
          </w:r>
          <w:r>
            <w:rPr>
              <w:sz w:val="24"/>
              <w:szCs w:val="24"/>
            </w:rPr>
            <w:tab/>
          </w:r>
          <w:r>
            <w:rPr>
              <w:sz w:val="24"/>
              <w:szCs w:val="24"/>
            </w:rPr>
            <w:fldChar w:fldCharType="begin"/>
          </w:r>
          <w:r>
            <w:rPr>
              <w:sz w:val="24"/>
              <w:szCs w:val="24"/>
            </w:rPr>
            <w:instrText xml:space="preserve"> PAGEREF _Toc16212 \h </w:instrText>
          </w:r>
          <w:r>
            <w:rPr>
              <w:sz w:val="24"/>
              <w:szCs w:val="24"/>
            </w:rPr>
            <w:fldChar w:fldCharType="separate"/>
          </w:r>
          <w:r>
            <w:rPr>
              <w:sz w:val="24"/>
              <w:szCs w:val="24"/>
            </w:rPr>
            <w:t>117</w:t>
          </w:r>
          <w:r>
            <w:rPr>
              <w:sz w:val="24"/>
              <w:szCs w:val="24"/>
            </w:rPr>
            <w:fldChar w:fldCharType="end"/>
          </w:r>
          <w:r>
            <w:rPr>
              <w:rFonts w:ascii="Arial"/>
              <w:sz w:val="24"/>
              <w:szCs w:val="24"/>
            </w:rPr>
            <w:fldChar w:fldCharType="end"/>
          </w:r>
        </w:p>
        <w:p>
          <w:pPr>
            <w:pStyle w:val="3"/>
            <w:keepNext w:val="0"/>
            <w:keepLines w:val="0"/>
            <w:pageBreakBefore w:val="0"/>
            <w:widowControl/>
            <w:tabs>
              <w:tab w:val="right" w:leader="dot" w:pos="9820"/>
            </w:tabs>
            <w:kinsoku w:val="0"/>
            <w:wordWrap/>
            <w:overflowPunct/>
            <w:topLinePunct w:val="0"/>
            <w:autoSpaceDE w:val="0"/>
            <w:autoSpaceDN w:val="0"/>
            <w:bidi w:val="0"/>
            <w:adjustRightInd w:val="0"/>
            <w:snapToGrid w:val="0"/>
            <w:spacing w:line="360" w:lineRule="auto"/>
            <w:ind w:left="0" w:leftChars="0" w:firstLine="0" w:firstLineChars="0"/>
            <w:textAlignment w:val="baseline"/>
            <w:rPr>
              <w:sz w:val="24"/>
              <w:szCs w:val="24"/>
            </w:rPr>
          </w:pPr>
          <w:r>
            <w:rPr>
              <w:rFonts w:ascii="Arial"/>
              <w:sz w:val="24"/>
              <w:szCs w:val="24"/>
            </w:rPr>
            <w:fldChar w:fldCharType="begin"/>
          </w:r>
          <w:r>
            <w:rPr>
              <w:rFonts w:ascii="Arial"/>
              <w:sz w:val="24"/>
              <w:szCs w:val="24"/>
            </w:rPr>
            <w:instrText xml:space="preserve"> HYPERLINK \l _Toc11077 </w:instrText>
          </w:r>
          <w:r>
            <w:rPr>
              <w:rFonts w:ascii="Arial"/>
              <w:sz w:val="24"/>
              <w:szCs w:val="24"/>
            </w:rPr>
            <w:fldChar w:fldCharType="separate"/>
          </w:r>
          <w:r>
            <w:rPr>
              <w:rFonts w:hint="eastAsia"/>
              <w:sz w:val="24"/>
              <w:szCs w:val="24"/>
              <w:lang w:eastAsia="zh-CN"/>
            </w:rPr>
            <w:t>七、本期计量完成统计表</w:t>
          </w:r>
          <w:r>
            <w:rPr>
              <w:sz w:val="24"/>
              <w:szCs w:val="24"/>
            </w:rPr>
            <w:tab/>
          </w:r>
          <w:r>
            <w:rPr>
              <w:sz w:val="24"/>
              <w:szCs w:val="24"/>
            </w:rPr>
            <w:fldChar w:fldCharType="begin"/>
          </w:r>
          <w:r>
            <w:rPr>
              <w:sz w:val="24"/>
              <w:szCs w:val="24"/>
            </w:rPr>
            <w:instrText xml:space="preserve"> PAGEREF _Toc11077 \h </w:instrText>
          </w:r>
          <w:r>
            <w:rPr>
              <w:sz w:val="24"/>
              <w:szCs w:val="24"/>
            </w:rPr>
            <w:fldChar w:fldCharType="separate"/>
          </w:r>
          <w:r>
            <w:rPr>
              <w:sz w:val="24"/>
              <w:szCs w:val="24"/>
            </w:rPr>
            <w:t>119</w:t>
          </w:r>
          <w:r>
            <w:rPr>
              <w:sz w:val="24"/>
              <w:szCs w:val="24"/>
            </w:rPr>
            <w:fldChar w:fldCharType="end"/>
          </w:r>
          <w:r>
            <w:rPr>
              <w:rFonts w:ascii="Arial"/>
              <w:sz w:val="24"/>
              <w:szCs w:val="24"/>
            </w:rPr>
            <w:fldChar w:fldCharType="end"/>
          </w:r>
        </w:p>
        <w:p>
          <w:pPr>
            <w:pStyle w:val="3"/>
            <w:keepNext w:val="0"/>
            <w:keepLines w:val="0"/>
            <w:pageBreakBefore w:val="0"/>
            <w:widowControl/>
            <w:tabs>
              <w:tab w:val="right" w:leader="dot" w:pos="9820"/>
            </w:tabs>
            <w:kinsoku w:val="0"/>
            <w:wordWrap/>
            <w:overflowPunct/>
            <w:topLinePunct w:val="0"/>
            <w:autoSpaceDE w:val="0"/>
            <w:autoSpaceDN w:val="0"/>
            <w:bidi w:val="0"/>
            <w:adjustRightInd w:val="0"/>
            <w:snapToGrid w:val="0"/>
            <w:spacing w:line="360" w:lineRule="auto"/>
            <w:ind w:left="0" w:leftChars="0" w:firstLine="0" w:firstLineChars="0"/>
            <w:textAlignment w:val="baseline"/>
            <w:rPr>
              <w:sz w:val="24"/>
              <w:szCs w:val="24"/>
            </w:rPr>
          </w:pPr>
          <w:r>
            <w:rPr>
              <w:rFonts w:ascii="Arial"/>
              <w:sz w:val="24"/>
              <w:szCs w:val="24"/>
            </w:rPr>
            <w:fldChar w:fldCharType="begin"/>
          </w:r>
          <w:r>
            <w:rPr>
              <w:rFonts w:ascii="Arial"/>
              <w:sz w:val="24"/>
              <w:szCs w:val="24"/>
            </w:rPr>
            <w:instrText xml:space="preserve"> HYPERLINK \l _Toc23528 </w:instrText>
          </w:r>
          <w:r>
            <w:rPr>
              <w:rFonts w:ascii="Arial"/>
              <w:sz w:val="24"/>
              <w:szCs w:val="24"/>
            </w:rPr>
            <w:fldChar w:fldCharType="separate"/>
          </w:r>
          <w:r>
            <w:rPr>
              <w:rFonts w:hint="eastAsia"/>
              <w:sz w:val="24"/>
              <w:szCs w:val="24"/>
              <w:lang w:eastAsia="zh-CN"/>
            </w:rPr>
            <w:t>八、附件资料</w:t>
          </w:r>
          <w:r>
            <w:rPr>
              <w:sz w:val="24"/>
              <w:szCs w:val="24"/>
            </w:rPr>
            <w:tab/>
          </w:r>
          <w:r>
            <w:rPr>
              <w:sz w:val="24"/>
              <w:szCs w:val="24"/>
            </w:rPr>
            <w:fldChar w:fldCharType="begin"/>
          </w:r>
          <w:r>
            <w:rPr>
              <w:sz w:val="24"/>
              <w:szCs w:val="24"/>
            </w:rPr>
            <w:instrText xml:space="preserve"> PAGEREF _Toc23528 \h </w:instrText>
          </w:r>
          <w:r>
            <w:rPr>
              <w:sz w:val="24"/>
              <w:szCs w:val="24"/>
            </w:rPr>
            <w:fldChar w:fldCharType="separate"/>
          </w:r>
          <w:r>
            <w:rPr>
              <w:sz w:val="24"/>
              <w:szCs w:val="24"/>
            </w:rPr>
            <w:t>120</w:t>
          </w:r>
          <w:r>
            <w:rPr>
              <w:sz w:val="24"/>
              <w:szCs w:val="24"/>
            </w:rPr>
            <w:fldChar w:fldCharType="end"/>
          </w:r>
          <w:r>
            <w:rPr>
              <w:rFonts w:ascii="Arial"/>
              <w:sz w:val="24"/>
              <w:szCs w:val="24"/>
            </w:rPr>
            <w:fldChar w:fldCharType="end"/>
          </w:r>
        </w:p>
        <w:p>
          <w:pPr>
            <w:spacing w:line="247" w:lineRule="auto"/>
            <w:rPr>
              <w:rFonts w:ascii="Arial"/>
            </w:rPr>
          </w:pPr>
          <w:r>
            <w:rPr>
              <w:rFonts w:ascii="Arial"/>
            </w:rPr>
            <w:fldChar w:fldCharType="end"/>
          </w:r>
        </w:p>
        <w:p>
          <w:pPr>
            <w:spacing w:line="247" w:lineRule="auto"/>
            <w:rPr>
              <w:rFonts w:ascii="Arial" w:hAnsi="Arial" w:eastAsia="Arial" w:cs="Arial"/>
              <w:snapToGrid w:val="0"/>
              <w:color w:val="000000"/>
              <w:kern w:val="0"/>
              <w:sz w:val="21"/>
              <w:szCs w:val="21"/>
            </w:rPr>
            <w:sectPr>
              <w:headerReference r:id="rId7" w:type="default"/>
              <w:footerReference r:id="rId8" w:type="default"/>
              <w:pgSz w:w="11906" w:h="16839"/>
              <w:pgMar w:top="400" w:right="999" w:bottom="1156" w:left="1087" w:header="0" w:footer="996" w:gutter="0"/>
              <w:pgNumType w:fmt="decimal"/>
              <w:cols w:space="720" w:num="1"/>
            </w:sectPr>
          </w:pPr>
        </w:p>
        <w:p>
          <w:pPr>
            <w:spacing w:line="247" w:lineRule="auto"/>
            <w:rPr>
              <w:rFonts w:ascii="Arial"/>
              <w:sz w:val="21"/>
            </w:rPr>
          </w:pPr>
        </w:p>
      </w:sdtContent>
    </w:sdt>
    <w:p>
      <w:pPr>
        <w:pStyle w:val="2"/>
        <w:bidi w:val="0"/>
        <w:outlineLvl w:val="1"/>
        <w:rPr>
          <w:rFonts w:ascii="Arial"/>
          <w:sz w:val="21"/>
        </w:rPr>
      </w:pPr>
      <w:bookmarkStart w:id="2" w:name="_Toc3231"/>
      <w:r>
        <w:rPr>
          <w:rFonts w:hint="eastAsia" w:ascii="宋体" w:hAnsi="宋体" w:eastAsia="宋体" w:cs="宋体"/>
        </w:rPr>
        <w:t>一</w:t>
      </w:r>
      <w:r>
        <w:rPr>
          <w:rFonts w:hint="eastAsia" w:ascii="宋体" w:hAnsi="宋体" w:eastAsia="宋体" w:cs="宋体"/>
          <w:lang w:eastAsia="zh-CN"/>
        </w:rPr>
        <w:t>、</w:t>
      </w:r>
      <w:r>
        <w:rPr>
          <w:rFonts w:hint="eastAsia" w:ascii="宋体" w:hAnsi="宋体" w:eastAsia="宋体" w:cs="宋体"/>
        </w:rPr>
        <w:t>工程项目概况</w:t>
      </w:r>
      <w:bookmarkEnd w:id="2"/>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left="0" w:right="28"/>
        <w:textAlignment w:val="baseline"/>
        <w:rPr>
          <w:rFonts w:hint="eastAsia" w:ascii="宋体" w:hAnsi="宋体" w:eastAsia="宋体" w:cs="宋体"/>
          <w:spacing w:val="8"/>
          <w:sz w:val="24"/>
          <w:szCs w:val="24"/>
          <w:lang w:eastAsia="zh-CN"/>
        </w:rPr>
      </w:pPr>
      <w:r>
        <w:rPr>
          <w:rFonts w:hint="eastAsia" w:ascii="宋体" w:hAnsi="宋体" w:eastAsia="宋体" w:cs="宋体"/>
          <w:spacing w:val="8"/>
          <w:sz w:val="24"/>
          <w:szCs w:val="24"/>
        </w:rPr>
        <w:t>1.项目编号：</w:t>
      </w:r>
      <w:r>
        <w:rPr>
          <w:rFonts w:hint="eastAsia" w:ascii="宋体" w:hAnsi="宋体" w:eastAsia="宋体" w:cs="宋体"/>
          <w:spacing w:val="8"/>
          <w:sz w:val="24"/>
          <w:szCs w:val="24"/>
          <w:lang w:val="en-US" w:eastAsia="zh-CN"/>
        </w:rPr>
        <w:t>006</w:t>
      </w:r>
      <w:r>
        <w:rPr>
          <w:rFonts w:hint="eastAsia" w:ascii="宋体" w:hAnsi="宋体" w:eastAsia="宋体" w:cs="宋体"/>
          <w:spacing w:val="8"/>
          <w:sz w:val="24"/>
          <w:szCs w:val="24"/>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left="0" w:right="28"/>
        <w:textAlignment w:val="baseline"/>
        <w:rPr>
          <w:rFonts w:hint="eastAsia" w:ascii="宋体" w:hAnsi="宋体" w:eastAsia="宋体" w:cs="宋体"/>
          <w:spacing w:val="8"/>
          <w:sz w:val="24"/>
          <w:szCs w:val="24"/>
          <w:lang w:eastAsia="zh-CN"/>
        </w:rPr>
      </w:pPr>
      <w:r>
        <w:rPr>
          <w:rFonts w:hint="eastAsia" w:ascii="宋体" w:hAnsi="宋体" w:eastAsia="宋体" w:cs="宋体"/>
          <w:spacing w:val="8"/>
          <w:sz w:val="24"/>
          <w:szCs w:val="24"/>
        </w:rPr>
        <w:t>2.项目名称：</w:t>
      </w:r>
      <w:r>
        <w:rPr>
          <w:rFonts w:hint="eastAsia" w:ascii="宋体" w:hAnsi="宋体" w:eastAsia="宋体" w:cs="宋体"/>
          <w:spacing w:val="8"/>
          <w:sz w:val="24"/>
          <w:szCs w:val="24"/>
          <w:lang w:val="en-US" w:eastAsia="zh-CN"/>
        </w:rPr>
        <w:t>006</w:t>
      </w:r>
      <w:r>
        <w:rPr>
          <w:rFonts w:hint="eastAsia" w:ascii="宋体" w:hAnsi="宋体" w:eastAsia="宋体" w:cs="宋体"/>
          <w:spacing w:val="8"/>
          <w:sz w:val="24"/>
          <w:szCs w:val="24"/>
          <w:lang w:eastAsia="zh-CN"/>
        </w:rPr>
        <w:t>兰磨高速公路工程项目。</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left="0" w:right="28"/>
        <w:textAlignment w:val="baseline"/>
        <w:rPr>
          <w:rFonts w:hint="eastAsia" w:ascii="宋体" w:hAnsi="宋体" w:eastAsia="宋体" w:cs="宋体"/>
          <w:spacing w:val="8"/>
          <w:sz w:val="24"/>
          <w:szCs w:val="24"/>
          <w:lang w:eastAsia="zh-CN"/>
        </w:rPr>
      </w:pPr>
      <w:r>
        <w:rPr>
          <w:rFonts w:hint="eastAsia" w:ascii="宋体" w:hAnsi="宋体" w:eastAsia="宋体" w:cs="宋体"/>
          <w:spacing w:val="8"/>
          <w:sz w:val="24"/>
          <w:szCs w:val="24"/>
        </w:rPr>
        <w:t>3.建设单位：</w:t>
      </w:r>
      <w:r>
        <w:rPr>
          <w:rFonts w:hint="eastAsia" w:ascii="宋体" w:hAnsi="宋体" w:eastAsia="宋体" w:cs="宋体"/>
          <w:spacing w:val="8"/>
          <w:sz w:val="24"/>
          <w:szCs w:val="24"/>
          <w:lang w:val="en-US" w:eastAsia="zh-CN"/>
        </w:rPr>
        <w:t>006</w:t>
      </w:r>
      <w:r>
        <w:rPr>
          <w:rFonts w:hint="eastAsia" w:ascii="宋体" w:hAnsi="宋体" w:eastAsia="宋体" w:cs="宋体"/>
          <w:spacing w:val="8"/>
          <w:sz w:val="24"/>
          <w:szCs w:val="24"/>
          <w:lang w:eastAsia="zh-CN"/>
        </w:rPr>
        <w:t>宏邦高速公路集团有限公司。</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left="0" w:right="28"/>
        <w:textAlignment w:val="baseline"/>
        <w:rPr>
          <w:rFonts w:hint="eastAsia" w:ascii="宋体" w:hAnsi="宋体" w:eastAsia="宋体" w:cs="宋体"/>
          <w:spacing w:val="8"/>
          <w:sz w:val="24"/>
          <w:szCs w:val="24"/>
          <w:lang w:eastAsia="zh-CN"/>
        </w:rPr>
      </w:pPr>
      <w:r>
        <w:rPr>
          <w:rFonts w:hint="eastAsia" w:ascii="宋体" w:hAnsi="宋体" w:eastAsia="宋体" w:cs="宋体"/>
          <w:spacing w:val="8"/>
          <w:sz w:val="24"/>
          <w:szCs w:val="24"/>
        </w:rPr>
        <w:t>4.建设地点：</w:t>
      </w:r>
      <w:r>
        <w:rPr>
          <w:rFonts w:hint="eastAsia" w:ascii="宋体" w:hAnsi="宋体" w:eastAsia="宋体" w:cs="宋体"/>
          <w:spacing w:val="8"/>
          <w:sz w:val="24"/>
          <w:szCs w:val="24"/>
          <w:lang w:eastAsia="zh-CN"/>
        </w:rPr>
        <w:t>云南省。</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left="0" w:right="28"/>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5.建设规模：</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left="0" w:right="28"/>
        <w:textAlignment w:val="baseline"/>
        <w:rPr>
          <w:rFonts w:hint="eastAsia" w:ascii="宋体" w:hAnsi="宋体" w:eastAsia="宋体" w:cs="宋体"/>
          <w:spacing w:val="8"/>
          <w:sz w:val="24"/>
          <w:szCs w:val="24"/>
          <w:lang w:eastAsia="zh-CN"/>
        </w:rPr>
      </w:pPr>
      <w:r>
        <w:rPr>
          <w:rFonts w:hint="eastAsia" w:ascii="宋体" w:hAnsi="宋体" w:eastAsia="宋体" w:cs="宋体"/>
          <w:spacing w:val="8"/>
          <w:sz w:val="24"/>
          <w:szCs w:val="24"/>
          <w:lang w:eastAsia="zh-CN"/>
        </w:rPr>
        <w:t>兰磨高速公路工程项目是由宏邦高速公路集团有限公司投资，小勐养至磨憨南段是国道主干线(GZ213）兰州至磨憨公路地处云南境内的最末一段，出省通往老挝及东南亚、南亚的运输大动脉，也是云南省规划的“三纵三横，以昆明为中心对外9个通道”公路网的重要组成部分，北面连接正在建设中的思茅至小勐养高速公路，该段公路的修建为进一步促进西部大开发，促进云南滇西南部矿产、农业、水利资源进一步开发，以及全省旅游业的发展，加强国际和地区之间的信息交流具有重大的意义。</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left="0" w:right="28"/>
        <w:textAlignment w:val="baseline"/>
        <w:rPr>
          <w:rFonts w:hint="eastAsia" w:ascii="宋体" w:hAnsi="宋体" w:eastAsia="宋体" w:cs="宋体"/>
          <w:spacing w:val="8"/>
          <w:sz w:val="24"/>
          <w:szCs w:val="24"/>
          <w:lang w:eastAsia="zh-CN"/>
        </w:rPr>
      </w:pPr>
      <w:r>
        <w:rPr>
          <w:rFonts w:hint="eastAsia" w:ascii="宋体" w:hAnsi="宋体" w:eastAsia="宋体" w:cs="宋体"/>
          <w:spacing w:val="8"/>
          <w:sz w:val="24"/>
          <w:szCs w:val="24"/>
        </w:rPr>
        <w:t>6.建设工期要求：</w:t>
      </w:r>
      <w:r>
        <w:rPr>
          <w:rFonts w:hint="eastAsia" w:ascii="宋体" w:hAnsi="宋体" w:eastAsia="宋体" w:cs="宋体"/>
          <w:spacing w:val="8"/>
          <w:sz w:val="24"/>
          <w:szCs w:val="24"/>
          <w:lang w:val="en-US" w:eastAsia="zh-CN"/>
        </w:rPr>
        <w:t>21</w:t>
      </w:r>
      <w:r>
        <w:rPr>
          <w:rFonts w:hint="eastAsia" w:ascii="宋体" w:hAnsi="宋体" w:eastAsia="宋体" w:cs="宋体"/>
          <w:spacing w:val="8"/>
          <w:sz w:val="24"/>
          <w:szCs w:val="24"/>
        </w:rPr>
        <w:t>个月</w:t>
      </w:r>
      <w:r>
        <w:rPr>
          <w:rFonts w:hint="eastAsia" w:ascii="宋体" w:hAnsi="宋体" w:eastAsia="宋体" w:cs="宋体"/>
          <w:spacing w:val="8"/>
          <w:sz w:val="24"/>
          <w:szCs w:val="24"/>
          <w:lang w:eastAsia="zh-CN"/>
        </w:rPr>
        <w:t>，</w:t>
      </w:r>
      <w:r>
        <w:rPr>
          <w:rFonts w:hint="eastAsia" w:ascii="宋体" w:hAnsi="宋体" w:eastAsia="宋体" w:cs="宋体"/>
          <w:spacing w:val="8"/>
          <w:sz w:val="24"/>
          <w:szCs w:val="24"/>
        </w:rPr>
        <w:t>计划工期：20</w:t>
      </w:r>
      <w:r>
        <w:rPr>
          <w:rFonts w:hint="eastAsia" w:ascii="宋体" w:hAnsi="宋体" w:eastAsia="宋体" w:cs="宋体"/>
          <w:spacing w:val="8"/>
          <w:sz w:val="24"/>
          <w:szCs w:val="24"/>
          <w:lang w:val="en-US" w:eastAsia="zh-CN"/>
        </w:rPr>
        <w:t>21</w:t>
      </w:r>
      <w:r>
        <w:rPr>
          <w:rFonts w:hint="eastAsia" w:ascii="宋体" w:hAnsi="宋体" w:eastAsia="宋体" w:cs="宋体"/>
          <w:spacing w:val="8"/>
          <w:sz w:val="24"/>
          <w:szCs w:val="24"/>
        </w:rPr>
        <w:t>年</w:t>
      </w:r>
      <w:r>
        <w:rPr>
          <w:rFonts w:hint="eastAsia" w:ascii="宋体" w:hAnsi="宋体" w:eastAsia="宋体" w:cs="宋体"/>
          <w:spacing w:val="8"/>
          <w:sz w:val="24"/>
          <w:szCs w:val="24"/>
          <w:lang w:val="en-US" w:eastAsia="zh-CN"/>
        </w:rPr>
        <w:t>3</w:t>
      </w:r>
      <w:r>
        <w:rPr>
          <w:rFonts w:hint="eastAsia" w:ascii="宋体" w:hAnsi="宋体" w:eastAsia="宋体" w:cs="宋体"/>
          <w:spacing w:val="8"/>
          <w:sz w:val="24"/>
          <w:szCs w:val="24"/>
        </w:rPr>
        <w:t>月1日—202</w:t>
      </w:r>
      <w:r>
        <w:rPr>
          <w:rFonts w:hint="eastAsia" w:ascii="宋体" w:hAnsi="宋体" w:eastAsia="宋体" w:cs="宋体"/>
          <w:spacing w:val="8"/>
          <w:sz w:val="24"/>
          <w:szCs w:val="24"/>
          <w:lang w:val="en-US" w:eastAsia="zh-CN"/>
        </w:rPr>
        <w:t>2</w:t>
      </w:r>
      <w:r>
        <w:rPr>
          <w:rFonts w:hint="eastAsia" w:ascii="宋体" w:hAnsi="宋体" w:eastAsia="宋体" w:cs="宋体"/>
          <w:spacing w:val="8"/>
          <w:sz w:val="24"/>
          <w:szCs w:val="24"/>
        </w:rPr>
        <w:t>年</w:t>
      </w:r>
      <w:r>
        <w:rPr>
          <w:rFonts w:hint="eastAsia" w:ascii="宋体" w:hAnsi="宋体" w:eastAsia="宋体" w:cs="宋体"/>
          <w:spacing w:val="8"/>
          <w:sz w:val="24"/>
          <w:szCs w:val="24"/>
          <w:lang w:val="en-US" w:eastAsia="zh-CN"/>
        </w:rPr>
        <w:t>11</w:t>
      </w:r>
      <w:r>
        <w:rPr>
          <w:rFonts w:hint="eastAsia" w:ascii="宋体" w:hAnsi="宋体" w:eastAsia="宋体" w:cs="宋体"/>
          <w:spacing w:val="8"/>
          <w:sz w:val="24"/>
          <w:szCs w:val="24"/>
        </w:rPr>
        <w:t>月</w:t>
      </w:r>
      <w:r>
        <w:rPr>
          <w:rFonts w:hint="eastAsia" w:ascii="宋体" w:hAnsi="宋体" w:eastAsia="宋体" w:cs="宋体"/>
          <w:spacing w:val="8"/>
          <w:sz w:val="24"/>
          <w:szCs w:val="24"/>
          <w:lang w:val="en-US" w:eastAsia="zh-CN"/>
        </w:rPr>
        <w:t>1</w:t>
      </w:r>
      <w:r>
        <w:rPr>
          <w:rFonts w:hint="eastAsia" w:ascii="宋体" w:hAnsi="宋体" w:eastAsia="宋体" w:cs="宋体"/>
          <w:spacing w:val="8"/>
          <w:sz w:val="24"/>
          <w:szCs w:val="24"/>
        </w:rPr>
        <w:t>日</w:t>
      </w:r>
      <w:r>
        <w:rPr>
          <w:rFonts w:hint="eastAsia" w:ascii="宋体" w:hAnsi="宋体" w:eastAsia="宋体" w:cs="宋体"/>
          <w:spacing w:val="8"/>
          <w:sz w:val="24"/>
          <w:szCs w:val="24"/>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left="0" w:right="28"/>
        <w:textAlignment w:val="baseline"/>
        <w:rPr>
          <w:rFonts w:hint="eastAsia" w:ascii="宋体" w:hAnsi="宋体" w:eastAsia="宋体" w:cs="宋体"/>
          <w:spacing w:val="8"/>
          <w:sz w:val="24"/>
          <w:szCs w:val="24"/>
          <w:lang w:eastAsia="zh-CN"/>
        </w:rPr>
      </w:pPr>
      <w:r>
        <w:rPr>
          <w:rFonts w:hint="eastAsia" w:ascii="宋体" w:hAnsi="宋体" w:eastAsia="宋体" w:cs="宋体"/>
          <w:spacing w:val="8"/>
          <w:sz w:val="24"/>
          <w:szCs w:val="24"/>
        </w:rPr>
        <w:t>7.建设计划总投资：</w:t>
      </w:r>
      <w:r>
        <w:rPr>
          <w:rFonts w:hint="eastAsia" w:ascii="宋体" w:hAnsi="宋体" w:eastAsia="宋体" w:cs="宋体"/>
          <w:spacing w:val="8"/>
          <w:sz w:val="24"/>
          <w:szCs w:val="24"/>
          <w:lang w:val="en-US" w:eastAsia="zh-CN"/>
        </w:rPr>
        <w:t>10</w:t>
      </w:r>
      <w:r>
        <w:rPr>
          <w:rFonts w:hint="eastAsia" w:ascii="宋体" w:hAnsi="宋体" w:eastAsia="宋体" w:cs="宋体"/>
          <w:spacing w:val="8"/>
          <w:sz w:val="24"/>
          <w:szCs w:val="24"/>
        </w:rPr>
        <w:t>26</w:t>
      </w:r>
      <w:r>
        <w:rPr>
          <w:rFonts w:hint="eastAsia" w:ascii="宋体" w:hAnsi="宋体" w:eastAsia="宋体" w:cs="宋体"/>
          <w:spacing w:val="8"/>
          <w:sz w:val="24"/>
          <w:szCs w:val="24"/>
          <w:lang w:val="en-US" w:eastAsia="zh-CN"/>
        </w:rPr>
        <w:t>71</w:t>
      </w:r>
      <w:r>
        <w:rPr>
          <w:rFonts w:hint="eastAsia" w:ascii="宋体" w:hAnsi="宋体" w:eastAsia="宋体" w:cs="宋体"/>
          <w:spacing w:val="8"/>
          <w:sz w:val="24"/>
          <w:szCs w:val="24"/>
        </w:rPr>
        <w:t>万元</w:t>
      </w: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投资性质：国有企业投资</w:t>
      </w:r>
      <w:r>
        <w:rPr>
          <w:rFonts w:hint="eastAsia" w:ascii="宋体" w:hAnsi="宋体" w:eastAsia="宋体" w:cs="宋体"/>
          <w:spacing w:val="8"/>
          <w:sz w:val="24"/>
          <w:szCs w:val="24"/>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left="0" w:right="28"/>
        <w:textAlignment w:val="baseline"/>
        <w:rPr>
          <w:rFonts w:hint="eastAsia" w:ascii="宋体" w:hAnsi="宋体" w:eastAsia="宋体" w:cs="宋体"/>
          <w:sz w:val="23"/>
          <w:szCs w:val="23"/>
          <w:lang w:eastAsia="zh-CN"/>
        </w:rPr>
      </w:pPr>
      <w:r>
        <w:rPr>
          <w:rFonts w:hint="eastAsia" w:ascii="宋体" w:hAnsi="宋体" w:eastAsia="宋体" w:cs="宋体"/>
          <w:spacing w:val="8"/>
          <w:sz w:val="24"/>
          <w:szCs w:val="24"/>
        </w:rPr>
        <w:t>8.建安费：</w:t>
      </w:r>
      <w:r>
        <w:rPr>
          <w:rFonts w:hint="eastAsia" w:ascii="宋体" w:hAnsi="宋体" w:eastAsia="宋体" w:cs="宋体"/>
          <w:spacing w:val="8"/>
          <w:sz w:val="24"/>
          <w:szCs w:val="24"/>
          <w:lang w:val="en-US" w:eastAsia="zh-CN"/>
        </w:rPr>
        <w:t>826543</w:t>
      </w:r>
      <w:r>
        <w:rPr>
          <w:rFonts w:hint="eastAsia" w:ascii="宋体" w:hAnsi="宋体" w:eastAsia="宋体" w:cs="宋体"/>
          <w:spacing w:val="8"/>
          <w:sz w:val="24"/>
          <w:szCs w:val="24"/>
        </w:rPr>
        <w:t>万元</w:t>
      </w:r>
      <w:r>
        <w:rPr>
          <w:rFonts w:hint="eastAsia" w:ascii="宋体" w:hAnsi="宋体" w:eastAsia="宋体" w:cs="宋体"/>
          <w:spacing w:val="8"/>
          <w:sz w:val="24"/>
          <w:szCs w:val="24"/>
          <w:lang w:eastAsia="zh-CN"/>
        </w:rPr>
        <w:t>。</w:t>
      </w:r>
    </w:p>
    <w:p>
      <w:pPr>
        <w:rPr>
          <w:rFonts w:ascii="Arial"/>
          <w:sz w:val="21"/>
        </w:rPr>
      </w:pPr>
      <w:r>
        <w:rPr>
          <w:rFonts w:ascii="Arial"/>
          <w:sz w:val="21"/>
        </w:rPr>
        <w:br w:type="page"/>
      </w:r>
    </w:p>
    <w:p>
      <w:pPr>
        <w:spacing w:line="338" w:lineRule="auto"/>
        <w:rPr>
          <w:rFonts w:ascii="Arial"/>
          <w:sz w:val="21"/>
        </w:rPr>
      </w:pPr>
    </w:p>
    <w:p>
      <w:pPr>
        <w:pStyle w:val="2"/>
        <w:bidi w:val="0"/>
        <w:outlineLvl w:val="1"/>
        <w:rPr>
          <w:rFonts w:ascii="Arial"/>
          <w:sz w:val="21"/>
        </w:rPr>
      </w:pPr>
      <w:bookmarkStart w:id="3" w:name="_Toc22539"/>
      <w:r>
        <w:rPr>
          <w:rFonts w:hint="eastAsia" w:ascii="宋体" w:hAnsi="宋体" w:eastAsia="宋体" w:cs="宋体"/>
          <w:b/>
        </w:rPr>
        <w:t>二</w:t>
      </w:r>
      <w:r>
        <w:rPr>
          <w:rFonts w:hint="eastAsia" w:ascii="宋体" w:hAnsi="宋体" w:eastAsia="宋体" w:cs="宋体"/>
          <w:b/>
          <w:lang w:eastAsia="zh-CN"/>
        </w:rPr>
        <w:t>、</w:t>
      </w:r>
      <w:r>
        <w:rPr>
          <w:rFonts w:hint="eastAsia" w:ascii="宋体" w:hAnsi="宋体" w:eastAsia="宋体" w:cs="宋体"/>
          <w:b/>
        </w:rPr>
        <w:t>施工合同</w:t>
      </w:r>
      <w:bookmarkEnd w:id="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b/>
          <w:bCs/>
          <w:spacing w:val="14"/>
          <w:sz w:val="24"/>
          <w:szCs w:val="24"/>
        </w:rPr>
      </w:pPr>
      <w:bookmarkStart w:id="4" w:name="_Toc23612"/>
      <w:bookmarkStart w:id="5" w:name="_Toc11388"/>
      <w:r>
        <w:rPr>
          <w:rFonts w:hint="eastAsia" w:ascii="宋体" w:hAnsi="宋体" w:eastAsia="宋体" w:cs="宋体"/>
          <w:b/>
          <w:bCs/>
          <w:spacing w:val="14"/>
          <w:sz w:val="24"/>
          <w:szCs w:val="24"/>
          <w:lang w:eastAsia="zh-CN"/>
        </w:rPr>
        <w:t>第一部分</w:t>
      </w:r>
      <w:r>
        <w:rPr>
          <w:rFonts w:hint="eastAsia" w:ascii="宋体" w:hAnsi="宋体" w:eastAsia="宋体" w:cs="宋体"/>
          <w:b/>
          <w:bCs/>
          <w:spacing w:val="14"/>
          <w:sz w:val="24"/>
          <w:szCs w:val="24"/>
          <w:lang w:val="en-US" w:eastAsia="zh-CN"/>
        </w:rPr>
        <w:t xml:space="preserve">  </w:t>
      </w:r>
      <w:r>
        <w:rPr>
          <w:rFonts w:hint="eastAsia" w:ascii="宋体" w:hAnsi="宋体" w:eastAsia="宋体" w:cs="宋体"/>
          <w:b/>
          <w:bCs/>
          <w:spacing w:val="14"/>
          <w:sz w:val="24"/>
          <w:szCs w:val="24"/>
        </w:rPr>
        <w:t>合同协议书</w:t>
      </w:r>
      <w:bookmarkEnd w:id="4"/>
      <w:bookmarkEnd w:id="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发包人（全称）：</w:t>
      </w:r>
      <w:r>
        <w:rPr>
          <w:rFonts w:hint="eastAsia" w:ascii="宋体" w:hAnsi="宋体" w:eastAsia="宋体" w:cs="宋体"/>
          <w:spacing w:val="14"/>
          <w:sz w:val="24"/>
          <w:szCs w:val="24"/>
          <w:lang w:val="en-US" w:eastAsia="zh-CN"/>
        </w:rPr>
        <w:t>006</w:t>
      </w:r>
      <w:r>
        <w:rPr>
          <w:rFonts w:hint="eastAsia" w:ascii="宋体" w:hAnsi="宋体" w:eastAsia="宋体" w:cs="宋体"/>
          <w:spacing w:val="14"/>
          <w:sz w:val="24"/>
          <w:szCs w:val="24"/>
          <w:lang w:eastAsia="zh-CN"/>
        </w:rPr>
        <w:t>宏邦高速公路集团有限公司</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承包人（全称）：</w:t>
      </w:r>
      <w:r>
        <w:rPr>
          <w:rFonts w:hint="eastAsia" w:ascii="宋体" w:hAnsi="宋体" w:eastAsia="宋体" w:cs="宋体"/>
          <w:spacing w:val="14"/>
          <w:sz w:val="24"/>
          <w:szCs w:val="24"/>
          <w:lang w:val="en-US" w:eastAsia="zh-CN"/>
        </w:rPr>
        <w:t>006</w:t>
      </w:r>
      <w:r>
        <w:rPr>
          <w:rFonts w:hint="eastAsia" w:ascii="宋体" w:hAnsi="宋体" w:eastAsia="宋体" w:cs="宋体"/>
          <w:spacing w:val="14"/>
          <w:sz w:val="24"/>
          <w:szCs w:val="24"/>
          <w:lang w:eastAsia="zh-CN"/>
        </w:rPr>
        <w:t>慧众建设有限公司</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根据《中华人民共和国民法典》及有关法律规定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遵循平等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自愿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公平和诚实信用的原则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双方就兰磨高速公路工程项目三标段施工及有关事项协商一致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共同达成如下协议：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6" w:name="_Toc19008"/>
      <w:bookmarkStart w:id="7" w:name="_Toc5263"/>
      <w:r>
        <w:rPr>
          <w:rFonts w:hint="eastAsia" w:ascii="宋体" w:hAnsi="宋体" w:eastAsia="宋体" w:cs="宋体"/>
          <w:spacing w:val="14"/>
          <w:sz w:val="24"/>
          <w:szCs w:val="24"/>
        </w:rPr>
        <w:t>一</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工程概况</w:t>
      </w:r>
      <w:bookmarkEnd w:id="6"/>
      <w:bookmarkEnd w:id="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 工程名称：</w:t>
      </w:r>
      <w:r>
        <w:rPr>
          <w:rFonts w:hint="eastAsia" w:ascii="宋体" w:hAnsi="宋体" w:eastAsia="宋体" w:cs="宋体"/>
          <w:spacing w:val="14"/>
          <w:sz w:val="24"/>
          <w:szCs w:val="24"/>
          <w:lang w:val="en-US" w:eastAsia="zh-CN"/>
        </w:rPr>
        <w:t>006</w:t>
      </w:r>
      <w:r>
        <w:rPr>
          <w:rFonts w:hint="eastAsia" w:ascii="宋体" w:hAnsi="宋体" w:eastAsia="宋体" w:cs="宋体"/>
          <w:spacing w:val="14"/>
          <w:sz w:val="24"/>
          <w:szCs w:val="24"/>
          <w:lang w:eastAsia="zh-CN"/>
        </w:rPr>
        <w:t>兰磨高速公路工程项目三</w:t>
      </w:r>
      <w:r>
        <w:rPr>
          <w:rFonts w:hint="eastAsia" w:ascii="宋体" w:hAnsi="宋体" w:eastAsia="宋体" w:cs="宋体"/>
          <w:spacing w:val="14"/>
          <w:sz w:val="24"/>
          <w:szCs w:val="24"/>
        </w:rPr>
        <w:t>标段</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 合同编号：</w:t>
      </w:r>
      <w:r>
        <w:rPr>
          <w:rFonts w:hint="eastAsia" w:ascii="宋体" w:hAnsi="宋体" w:eastAsia="宋体" w:cs="宋体"/>
          <w:spacing w:val="14"/>
          <w:sz w:val="24"/>
          <w:szCs w:val="24"/>
          <w:lang w:val="en-US" w:eastAsia="zh-CN"/>
        </w:rPr>
        <w:t>006</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 工程地点：</w:t>
      </w:r>
      <w:r>
        <w:rPr>
          <w:rFonts w:hint="eastAsia" w:ascii="宋体" w:hAnsi="宋体" w:eastAsia="宋体" w:cs="宋体"/>
          <w:spacing w:val="14"/>
          <w:sz w:val="24"/>
          <w:szCs w:val="24"/>
          <w:lang w:eastAsia="zh-CN"/>
        </w:rPr>
        <w:t>云南省。</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 资金来源：</w:t>
      </w:r>
      <w:r>
        <w:rPr>
          <w:rFonts w:hint="eastAsia" w:ascii="宋体" w:hAnsi="宋体" w:eastAsia="宋体" w:cs="宋体"/>
          <w:spacing w:val="8"/>
          <w:sz w:val="24"/>
          <w:szCs w:val="24"/>
          <w:lang w:val="en-US" w:eastAsia="zh-CN"/>
        </w:rPr>
        <w:t>国有企业投资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 工程内容：公路工程施工总承包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 工程承包范围：工程承包范围详见《技术标准和要求》部分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8" w:name="_Toc18077"/>
      <w:bookmarkStart w:id="9" w:name="_Toc29662"/>
      <w:r>
        <w:rPr>
          <w:rFonts w:hint="eastAsia" w:ascii="宋体" w:hAnsi="宋体" w:eastAsia="宋体" w:cs="宋体"/>
          <w:spacing w:val="14"/>
          <w:sz w:val="24"/>
          <w:szCs w:val="24"/>
        </w:rPr>
        <w:t>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合同工期</w:t>
      </w:r>
      <w:bookmarkEnd w:id="8"/>
      <w:bookmarkEnd w:id="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计划开工日期：20</w:t>
      </w:r>
      <w:r>
        <w:rPr>
          <w:rFonts w:hint="eastAsia" w:ascii="宋体" w:hAnsi="宋体" w:eastAsia="宋体" w:cs="宋体"/>
          <w:spacing w:val="14"/>
          <w:sz w:val="24"/>
          <w:szCs w:val="24"/>
          <w:lang w:val="en-US" w:eastAsia="zh-CN"/>
        </w:rPr>
        <w:t>21</w:t>
      </w:r>
      <w:r>
        <w:rPr>
          <w:rFonts w:hint="eastAsia" w:ascii="宋体" w:hAnsi="宋体" w:eastAsia="宋体" w:cs="宋体"/>
          <w:spacing w:val="14"/>
          <w:sz w:val="24"/>
          <w:szCs w:val="24"/>
        </w:rPr>
        <w:t>年</w:t>
      </w:r>
      <w:r>
        <w:rPr>
          <w:rFonts w:hint="eastAsia" w:ascii="宋体" w:hAnsi="宋体" w:eastAsia="宋体" w:cs="宋体"/>
          <w:spacing w:val="14"/>
          <w:sz w:val="24"/>
          <w:szCs w:val="24"/>
          <w:lang w:val="en-US" w:eastAsia="zh-CN"/>
        </w:rPr>
        <w:t>3</w:t>
      </w:r>
      <w:r>
        <w:rPr>
          <w:rFonts w:hint="eastAsia" w:ascii="宋体" w:hAnsi="宋体" w:eastAsia="宋体" w:cs="宋体"/>
          <w:spacing w:val="14"/>
          <w:sz w:val="24"/>
          <w:szCs w:val="24"/>
        </w:rPr>
        <w:t>月1日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计划竣工日期：202</w:t>
      </w:r>
      <w:r>
        <w:rPr>
          <w:rFonts w:hint="eastAsia" w:ascii="宋体" w:hAnsi="宋体" w:eastAsia="宋体" w:cs="宋体"/>
          <w:spacing w:val="14"/>
          <w:sz w:val="24"/>
          <w:szCs w:val="24"/>
          <w:lang w:val="en-US" w:eastAsia="zh-CN"/>
        </w:rPr>
        <w:t>2</w:t>
      </w:r>
      <w:r>
        <w:rPr>
          <w:rFonts w:hint="eastAsia" w:ascii="宋体" w:hAnsi="宋体" w:eastAsia="宋体" w:cs="宋体"/>
          <w:spacing w:val="14"/>
          <w:sz w:val="24"/>
          <w:szCs w:val="24"/>
        </w:rPr>
        <w:t>年</w:t>
      </w:r>
      <w:r>
        <w:rPr>
          <w:rFonts w:hint="eastAsia" w:ascii="宋体" w:hAnsi="宋体" w:eastAsia="宋体" w:cs="宋体"/>
          <w:spacing w:val="14"/>
          <w:sz w:val="24"/>
          <w:szCs w:val="24"/>
          <w:lang w:val="en-US" w:eastAsia="zh-CN"/>
        </w:rPr>
        <w:t>11</w:t>
      </w:r>
      <w:r>
        <w:rPr>
          <w:rFonts w:hint="eastAsia" w:ascii="宋体" w:hAnsi="宋体" w:eastAsia="宋体" w:cs="宋体"/>
          <w:spacing w:val="14"/>
          <w:sz w:val="24"/>
          <w:szCs w:val="24"/>
        </w:rPr>
        <w:t>月</w:t>
      </w:r>
      <w:r>
        <w:rPr>
          <w:rFonts w:hint="eastAsia" w:ascii="宋体" w:hAnsi="宋体" w:eastAsia="宋体" w:cs="宋体"/>
          <w:spacing w:val="14"/>
          <w:sz w:val="24"/>
          <w:szCs w:val="24"/>
          <w:lang w:val="en-US" w:eastAsia="zh-CN"/>
        </w:rPr>
        <w:t>1</w:t>
      </w:r>
      <w:r>
        <w:rPr>
          <w:rFonts w:hint="eastAsia" w:ascii="宋体" w:hAnsi="宋体" w:eastAsia="宋体" w:cs="宋体"/>
          <w:spacing w:val="14"/>
          <w:sz w:val="24"/>
          <w:szCs w:val="24"/>
        </w:rPr>
        <w:t>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总日历天数：</w:t>
      </w:r>
      <w:r>
        <w:rPr>
          <w:rFonts w:hint="eastAsia" w:ascii="宋体" w:hAnsi="宋体" w:eastAsia="宋体" w:cs="宋体"/>
          <w:spacing w:val="14"/>
          <w:sz w:val="24"/>
          <w:szCs w:val="24"/>
          <w:lang w:val="en-US" w:eastAsia="zh-CN"/>
        </w:rPr>
        <w:t>610</w:t>
      </w:r>
      <w:r>
        <w:rPr>
          <w:rFonts w:hint="eastAsia" w:ascii="宋体" w:hAnsi="宋体" w:eastAsia="宋体" w:cs="宋体"/>
          <w:spacing w:val="14"/>
          <w:sz w:val="24"/>
          <w:szCs w:val="24"/>
        </w:rPr>
        <w:t>天</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10" w:name="_Toc7100"/>
      <w:bookmarkStart w:id="11" w:name="_Toc14150"/>
      <w:r>
        <w:rPr>
          <w:rFonts w:hint="eastAsia" w:ascii="宋体" w:hAnsi="宋体" w:eastAsia="宋体" w:cs="宋体"/>
          <w:spacing w:val="14"/>
          <w:sz w:val="24"/>
          <w:szCs w:val="24"/>
        </w:rPr>
        <w:t>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质量标准</w:t>
      </w:r>
      <w:bookmarkEnd w:id="10"/>
      <w:bookmarkEnd w:id="1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工程质量符合国家和工程所在地地方现行验收合格标准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12" w:name="_Toc4418"/>
      <w:bookmarkStart w:id="13" w:name="_Toc9579"/>
      <w:r>
        <w:rPr>
          <w:rFonts w:hint="eastAsia" w:ascii="宋体" w:hAnsi="宋体" w:eastAsia="宋体" w:cs="宋体"/>
          <w:spacing w:val="14"/>
          <w:sz w:val="24"/>
          <w:szCs w:val="24"/>
        </w:rPr>
        <w:t>四</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签约合同价与合同价格形式</w:t>
      </w:r>
      <w:bookmarkEnd w:id="12"/>
      <w:bookmarkEnd w:id="1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4" w:name="_Toc30246"/>
      <w:bookmarkStart w:id="15" w:name="_Toc32294"/>
      <w:r>
        <w:rPr>
          <w:rFonts w:hint="eastAsia" w:ascii="宋体" w:hAnsi="宋体" w:eastAsia="宋体" w:cs="宋体"/>
          <w:spacing w:val="14"/>
          <w:sz w:val="24"/>
          <w:szCs w:val="24"/>
        </w:rPr>
        <w:t>1 签约合同暂定价为（人民币）：</w:t>
      </w:r>
      <w:bookmarkEnd w:id="14"/>
      <w:bookmarkEnd w:id="1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（大写）</w:t>
      </w:r>
      <w:r>
        <w:rPr>
          <w:rFonts w:hint="eastAsia" w:ascii="宋体" w:hAnsi="宋体" w:eastAsia="宋体" w:cs="宋体"/>
          <w:spacing w:val="14"/>
          <w:sz w:val="24"/>
          <w:szCs w:val="24"/>
          <w:u w:val="single"/>
        </w:rPr>
        <w:t>陆亿柒仟柒佰捌拾玖万肆仟壹佰壹拾伍元柒角</w:t>
      </w:r>
      <w:r>
        <w:rPr>
          <w:rFonts w:hint="eastAsia" w:ascii="宋体" w:hAnsi="宋体" w:eastAsia="宋体" w:cs="宋体"/>
          <w:spacing w:val="14"/>
          <w:sz w:val="24"/>
          <w:szCs w:val="24"/>
          <w:u w:val="single"/>
          <w:lang w:val="en-US" w:eastAsia="zh-CN"/>
        </w:rPr>
        <w:t>壹分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（小写）￥</w:t>
      </w:r>
      <w:r>
        <w:rPr>
          <w:rFonts w:hint="eastAsia" w:ascii="宋体" w:hAnsi="宋体" w:eastAsia="宋体" w:cs="宋体"/>
          <w:spacing w:val="14"/>
          <w:sz w:val="24"/>
          <w:szCs w:val="24"/>
          <w:u w:val="single"/>
        </w:rPr>
        <w:t>677894115.7</w:t>
      </w:r>
      <w:r>
        <w:rPr>
          <w:rFonts w:hint="eastAsia" w:ascii="宋体" w:hAnsi="宋体" w:eastAsia="宋体" w:cs="宋体"/>
          <w:spacing w:val="14"/>
          <w:sz w:val="24"/>
          <w:szCs w:val="24"/>
          <w:u w:val="single"/>
          <w:lang w:val="en-US" w:eastAsia="zh-CN"/>
        </w:rPr>
        <w:t>1</w:t>
      </w:r>
      <w:r>
        <w:rPr>
          <w:rFonts w:hint="eastAsia" w:ascii="宋体" w:hAnsi="宋体" w:eastAsia="宋体" w:cs="宋体"/>
          <w:spacing w:val="14"/>
          <w:sz w:val="24"/>
          <w:szCs w:val="24"/>
        </w:rPr>
        <w:t>元</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其中：</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（1）增值税为：￥</w:t>
      </w:r>
      <w:r>
        <w:rPr>
          <w:rFonts w:hint="eastAsia" w:ascii="宋体" w:hAnsi="宋体" w:eastAsia="宋体" w:cs="宋体"/>
          <w:spacing w:val="14"/>
          <w:sz w:val="24"/>
          <w:szCs w:val="24"/>
          <w:u w:val="single"/>
        </w:rPr>
        <w:t xml:space="preserve">20336823.47 </w:t>
      </w:r>
      <w:r>
        <w:rPr>
          <w:rFonts w:hint="eastAsia" w:ascii="宋体" w:hAnsi="宋体" w:eastAsia="宋体" w:cs="宋体"/>
          <w:spacing w:val="14"/>
          <w:sz w:val="24"/>
          <w:szCs w:val="24"/>
        </w:rPr>
        <w:t>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 xml:space="preserve">增值税税率： </w:t>
      </w:r>
      <w:r>
        <w:rPr>
          <w:rFonts w:hint="eastAsia" w:ascii="宋体" w:hAnsi="宋体" w:eastAsia="宋体" w:cs="宋体"/>
          <w:spacing w:val="14"/>
          <w:sz w:val="24"/>
          <w:szCs w:val="24"/>
          <w:u w:val="single"/>
          <w:lang w:val="en-US" w:eastAsia="zh-CN"/>
        </w:rPr>
        <w:t>3</w:t>
      </w:r>
      <w:r>
        <w:rPr>
          <w:rFonts w:hint="eastAsia" w:ascii="宋体" w:hAnsi="宋体" w:eastAsia="宋体" w:cs="宋体"/>
          <w:spacing w:val="14"/>
          <w:sz w:val="24"/>
          <w:szCs w:val="24"/>
          <w:u w:val="single"/>
        </w:rPr>
        <w:t>%</w:t>
      </w:r>
      <w:r>
        <w:rPr>
          <w:rFonts w:hint="eastAsia" w:ascii="宋体" w:hAnsi="宋体" w:eastAsia="宋体" w:cs="宋体"/>
          <w:spacing w:val="14"/>
          <w:sz w:val="24"/>
          <w:szCs w:val="24"/>
          <w:u w:val="none"/>
          <w:lang w:val="en-US" w:eastAsia="zh-CN"/>
        </w:rPr>
        <w:t xml:space="preserve"> </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（2）安全生产费：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人民币（大写）：</w:t>
      </w:r>
      <w:r>
        <w:rPr>
          <w:rFonts w:hint="eastAsia" w:ascii="宋体" w:hAnsi="宋体" w:eastAsia="宋体" w:cs="宋体"/>
          <w:spacing w:val="14"/>
          <w:sz w:val="24"/>
          <w:szCs w:val="24"/>
          <w:u w:val="single"/>
        </w:rPr>
        <w:t>壹仟捌佰玖拾贰万壹仟元整</w:t>
      </w:r>
      <w:r>
        <w:rPr>
          <w:rFonts w:hint="eastAsia" w:ascii="宋体" w:hAnsi="宋体" w:eastAsia="宋体" w:cs="宋体"/>
          <w:spacing w:val="14"/>
          <w:sz w:val="24"/>
          <w:szCs w:val="24"/>
        </w:rPr>
        <w:t>（￥</w:t>
      </w:r>
      <w:r>
        <w:rPr>
          <w:rFonts w:hint="eastAsia" w:ascii="宋体" w:hAnsi="宋体" w:eastAsia="宋体" w:cs="宋体"/>
          <w:spacing w:val="14"/>
          <w:sz w:val="24"/>
          <w:szCs w:val="24"/>
          <w:u w:val="single"/>
        </w:rPr>
        <w:t>18921000</w:t>
      </w:r>
      <w:r>
        <w:rPr>
          <w:rFonts w:hint="eastAsia" w:ascii="宋体" w:hAnsi="宋体" w:eastAsia="宋体" w:cs="宋体"/>
          <w:spacing w:val="14"/>
          <w:sz w:val="24"/>
          <w:szCs w:val="24"/>
        </w:rPr>
        <w:t>元）</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（3）材料和工程设备暂估价：</w:t>
      </w:r>
      <w:r>
        <w:rPr>
          <w:rFonts w:hint="eastAsia" w:ascii="宋体" w:hAnsi="宋体" w:eastAsia="宋体" w:cs="宋体"/>
          <w:spacing w:val="14"/>
          <w:sz w:val="24"/>
          <w:szCs w:val="24"/>
          <w:u w:val="single"/>
        </w:rPr>
        <w:t>无</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（4）专业工程暂估价金额：</w:t>
      </w:r>
      <w:r>
        <w:rPr>
          <w:rFonts w:hint="eastAsia" w:ascii="宋体" w:hAnsi="宋体" w:eastAsia="宋体" w:cs="宋体"/>
          <w:spacing w:val="14"/>
          <w:sz w:val="24"/>
          <w:szCs w:val="24"/>
          <w:u w:val="single"/>
          <w:lang w:eastAsia="zh-CN"/>
        </w:rPr>
        <w:t>无</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（5）暂列金额：</w:t>
      </w:r>
      <w:r>
        <w:rPr>
          <w:rFonts w:hint="eastAsia" w:ascii="宋体" w:hAnsi="宋体" w:eastAsia="宋体" w:cs="宋体"/>
          <w:spacing w:val="14"/>
          <w:sz w:val="24"/>
          <w:szCs w:val="24"/>
          <w:u w:val="single"/>
        </w:rPr>
        <w:t>陆仟壹佰陆拾贰万陆仟柒佰叁拾柒元柒角玖分</w:t>
      </w:r>
      <w:r>
        <w:rPr>
          <w:rFonts w:hint="eastAsia" w:ascii="宋体" w:hAnsi="宋体" w:eastAsia="宋体" w:cs="宋体"/>
          <w:spacing w:val="14"/>
          <w:sz w:val="24"/>
          <w:szCs w:val="24"/>
        </w:rPr>
        <w:t>（￥</w:t>
      </w:r>
      <w:r>
        <w:rPr>
          <w:rFonts w:hint="eastAsia" w:ascii="宋体" w:hAnsi="宋体" w:eastAsia="宋体" w:cs="宋体"/>
          <w:spacing w:val="14"/>
          <w:sz w:val="24"/>
          <w:szCs w:val="24"/>
          <w:u w:val="single"/>
        </w:rPr>
        <w:t>61626737.79</w:t>
      </w:r>
      <w:r>
        <w:rPr>
          <w:rFonts w:hint="eastAsia" w:ascii="宋体" w:hAnsi="宋体" w:eastAsia="宋体" w:cs="宋体"/>
          <w:spacing w:val="14"/>
          <w:sz w:val="24"/>
          <w:szCs w:val="24"/>
        </w:rPr>
        <w:t>元）</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 合同价格形式：全费用综合单价合同（其中安全文明施工费按相关文件执行）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详见经承包人填写价格并为发包人所接受的工程量清单（即已标价工程量清单）</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 其它约定：本工程合同工期在一年以上两年以内的工程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应在办理工程项目安全受监手续时支付安全文明施工费中基本费的50%</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剩余50%基本费应在工程开工满1年前支付到位</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16" w:name="_Toc24526"/>
      <w:bookmarkStart w:id="17" w:name="_Toc20646"/>
      <w:r>
        <w:rPr>
          <w:rFonts w:hint="eastAsia" w:ascii="宋体" w:hAnsi="宋体" w:eastAsia="宋体" w:cs="宋体"/>
          <w:spacing w:val="14"/>
          <w:sz w:val="24"/>
          <w:szCs w:val="24"/>
        </w:rPr>
        <w:t>五</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项目经理</w:t>
      </w:r>
      <w:bookmarkEnd w:id="16"/>
      <w:bookmarkEnd w:id="1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承包人项目经理：</w:t>
      </w:r>
      <w:r>
        <w:rPr>
          <w:rFonts w:hint="eastAsia" w:ascii="宋体" w:hAnsi="宋体" w:eastAsia="宋体" w:cs="宋体"/>
          <w:spacing w:val="14"/>
          <w:sz w:val="24"/>
          <w:szCs w:val="24"/>
          <w:lang w:eastAsia="zh-CN"/>
        </w:rPr>
        <w:t>慧众建设有限公司</w:t>
      </w:r>
      <w:r>
        <w:rPr>
          <w:rFonts w:hint="eastAsia" w:ascii="宋体" w:hAnsi="宋体" w:eastAsia="宋体" w:cs="宋体"/>
          <w:spacing w:val="14"/>
          <w:sz w:val="24"/>
          <w:szCs w:val="24"/>
        </w:rPr>
        <w:t>XXX</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18" w:name="_Toc24506"/>
      <w:bookmarkStart w:id="19" w:name="_Toc12434"/>
      <w:r>
        <w:rPr>
          <w:rFonts w:hint="eastAsia" w:ascii="宋体" w:hAnsi="宋体" w:eastAsia="宋体" w:cs="宋体"/>
          <w:spacing w:val="14"/>
          <w:sz w:val="24"/>
          <w:szCs w:val="24"/>
        </w:rPr>
        <w:t>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合同文件构成</w:t>
      </w:r>
      <w:bookmarkEnd w:id="18"/>
      <w:bookmarkEnd w:id="1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本协议书与下列文件一起构成合同文件：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1．中标通知书（如果有）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2．投标函及其附录（如果有）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3．专用合同条款及其附件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4．通用合同条款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5．技术标准和要求</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6．图纸</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7．已标价工程量清单或预算书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8．其他合同文件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在合同订立及履行过程中形成的与合同有关的文件均构成合同文件组成部分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上述各项合同文件包括合同当事人就该项合同文件所作出的补充和修改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属于同一类内容的文件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以最新签署的为准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0" w:name="_Toc25017"/>
      <w:bookmarkStart w:id="21" w:name="_Toc30716"/>
      <w:r>
        <w:rPr>
          <w:rFonts w:hint="eastAsia" w:ascii="宋体" w:hAnsi="宋体" w:eastAsia="宋体" w:cs="宋体"/>
          <w:spacing w:val="14"/>
          <w:sz w:val="24"/>
          <w:szCs w:val="24"/>
        </w:rPr>
        <w:t>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承诺</w:t>
      </w:r>
      <w:bookmarkEnd w:id="20"/>
      <w:bookmarkEnd w:id="2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1．发包人承诺按照法律规定履行项目审批手续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筹集工程建设资金并按照合同约定的期限和方式支付合同价款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2．承包人承诺按照法律规定及合同约定组织完成工程施工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确保工程质量和安全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不进行转包及违法分包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并在缺陷责任期及保修期内承担相应的工程维修责任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3．发包人和承包人通过招投标形式签订合同的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双方理解并承诺不再就同一工程另行签订与合同实质性内容相背离的协议</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2" w:name="_Toc5616"/>
      <w:bookmarkStart w:id="23" w:name="_Toc15129"/>
      <w:r>
        <w:rPr>
          <w:rFonts w:hint="eastAsia" w:ascii="宋体" w:hAnsi="宋体" w:eastAsia="宋体" w:cs="宋体"/>
          <w:spacing w:val="14"/>
          <w:sz w:val="24"/>
          <w:szCs w:val="24"/>
        </w:rPr>
        <w:t>八</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词语含义</w:t>
      </w:r>
      <w:bookmarkEnd w:id="22"/>
      <w:bookmarkEnd w:id="2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本协议书中词语含义与第二部分通用合同条款中赋予的含义相同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4" w:name="_Toc13047"/>
      <w:bookmarkStart w:id="25" w:name="_Toc4680"/>
      <w:r>
        <w:rPr>
          <w:rFonts w:hint="eastAsia" w:ascii="宋体" w:hAnsi="宋体" w:eastAsia="宋体" w:cs="宋体"/>
          <w:spacing w:val="14"/>
          <w:sz w:val="24"/>
          <w:szCs w:val="24"/>
        </w:rPr>
        <w:t>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签订时间</w:t>
      </w:r>
      <w:bookmarkEnd w:id="24"/>
      <w:bookmarkEnd w:id="2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本合同于20</w:t>
      </w:r>
      <w:r>
        <w:rPr>
          <w:rFonts w:hint="eastAsia" w:ascii="宋体" w:hAnsi="宋体" w:eastAsia="宋体" w:cs="宋体"/>
          <w:spacing w:val="14"/>
          <w:sz w:val="24"/>
          <w:szCs w:val="24"/>
          <w:lang w:val="en-US" w:eastAsia="zh-CN"/>
        </w:rPr>
        <w:t>18</w:t>
      </w:r>
      <w:r>
        <w:rPr>
          <w:rFonts w:hint="eastAsia" w:ascii="宋体" w:hAnsi="宋体" w:eastAsia="宋体" w:cs="宋体"/>
          <w:spacing w:val="14"/>
          <w:sz w:val="24"/>
          <w:szCs w:val="24"/>
        </w:rPr>
        <w:t>年12月28日签订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6" w:name="_Toc7831"/>
      <w:bookmarkStart w:id="27" w:name="_Toc15570"/>
      <w:r>
        <w:rPr>
          <w:rFonts w:hint="eastAsia" w:ascii="宋体" w:hAnsi="宋体" w:eastAsia="宋体" w:cs="宋体"/>
          <w:spacing w:val="14"/>
          <w:sz w:val="24"/>
          <w:szCs w:val="24"/>
        </w:rPr>
        <w:t>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签订地点</w:t>
      </w:r>
      <w:bookmarkEnd w:id="26"/>
      <w:bookmarkEnd w:id="2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t>兰磨高速公路工程项目</w:t>
      </w:r>
      <w:r>
        <w:rPr>
          <w:rFonts w:hint="eastAsia" w:ascii="宋体" w:hAnsi="宋体" w:eastAsia="宋体" w:cs="宋体"/>
          <w:spacing w:val="14"/>
          <w:sz w:val="24"/>
          <w:szCs w:val="24"/>
        </w:rPr>
        <w:t>施工三标段项目部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8" w:name="_Toc10690"/>
      <w:bookmarkStart w:id="29" w:name="_Toc4770"/>
      <w:r>
        <w:rPr>
          <w:rFonts w:hint="eastAsia" w:ascii="宋体" w:hAnsi="宋体" w:eastAsia="宋体" w:cs="宋体"/>
          <w:spacing w:val="14"/>
          <w:sz w:val="24"/>
          <w:szCs w:val="24"/>
        </w:rPr>
        <w:t>十一</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补充协议</w:t>
      </w:r>
      <w:bookmarkEnd w:id="28"/>
      <w:bookmarkEnd w:id="2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合同未尽事宜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合同当事人另行签订补充协议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补充协议是合同的组成部分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30" w:name="_Toc13439"/>
      <w:bookmarkStart w:id="31" w:name="_Toc1773"/>
      <w:r>
        <w:rPr>
          <w:rFonts w:hint="eastAsia" w:ascii="宋体" w:hAnsi="宋体" w:eastAsia="宋体" w:cs="宋体"/>
          <w:spacing w:val="14"/>
          <w:sz w:val="24"/>
          <w:szCs w:val="24"/>
        </w:rPr>
        <w:t>十二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合同生效</w:t>
      </w:r>
      <w:bookmarkEnd w:id="30"/>
      <w:bookmarkEnd w:id="3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本合同自发包人和承包人的法定代表人或其委托代理人签字并加盖单位公章后生效</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32" w:name="_Toc1691"/>
      <w:bookmarkStart w:id="33" w:name="_Toc11437"/>
      <w:r>
        <w:rPr>
          <w:rFonts w:hint="eastAsia" w:ascii="宋体" w:hAnsi="宋体" w:eastAsia="宋体" w:cs="宋体"/>
          <w:spacing w:val="14"/>
          <w:sz w:val="24"/>
          <w:szCs w:val="24"/>
        </w:rPr>
        <w:t>十三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合同份数</w:t>
      </w:r>
      <w:bookmarkEnd w:id="32"/>
      <w:bookmarkEnd w:id="3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本合同正本5份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发包人执4份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承包人执1份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副本11份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发包人执4份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承包人执3份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监理人执3份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合同备案机关执1份</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 xml:space="preserve">发包人：  </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公章</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 xml:space="preserve">             承包人：  </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公章</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法定代表人或其委托代理人：  法定代表人或其委托代理人：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（签字）                    （签字）</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组织机构代码：            组织机构代码：</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地  址：                  地  址：</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邮政编码：                邮政编码：</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法定代表人：              法定代表人：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委托代理人：              委托代理人：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电  话：                  电  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传  真：                  传  真：</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电子信箱：                电子信箱：</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开户银行：                开户银行：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账  号：                  账  号：</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0"/>
        <w:rPr>
          <w:rFonts w:hint="eastAsia" w:ascii="宋体" w:hAnsi="宋体" w:eastAsia="宋体" w:cs="宋体"/>
          <w:spacing w:val="14"/>
          <w:sz w:val="24"/>
          <w:szCs w:val="24"/>
        </w:rPr>
      </w:pPr>
      <w:bookmarkStart w:id="34" w:name="_Toc5060"/>
      <w:bookmarkStart w:id="35" w:name="_Toc18548"/>
      <w:r>
        <w:rPr>
          <w:rFonts w:hint="eastAsia" w:ascii="宋体" w:hAnsi="宋体" w:eastAsia="宋体" w:cs="宋体"/>
          <w:b/>
          <w:bCs/>
          <w:spacing w:val="14"/>
          <w:sz w:val="24"/>
          <w:szCs w:val="24"/>
        </w:rPr>
        <w:t>第二部分 通用合同条款</w:t>
      </w:r>
      <w:bookmarkEnd w:id="34"/>
      <w:bookmarkEnd w:id="3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本工程通用合同条款按照《建设工程施工合同》（示范文本）（GF-2017-0201）的通用合同条款执行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36" w:name="_Toc27887"/>
      <w:bookmarkStart w:id="37" w:name="_Toc29903"/>
      <w:r>
        <w:rPr>
          <w:rFonts w:hint="eastAsia" w:ascii="宋体" w:hAnsi="宋体" w:eastAsia="宋体" w:cs="宋体"/>
          <w:spacing w:val="14"/>
          <w:sz w:val="24"/>
          <w:szCs w:val="24"/>
        </w:rPr>
        <w:t>1. 一般约定</w:t>
      </w:r>
      <w:bookmarkEnd w:id="36"/>
      <w:bookmarkEnd w:id="3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8" w:name="_Toc31581"/>
      <w:bookmarkStart w:id="39" w:name="_Toc16169"/>
      <w:r>
        <w:rPr>
          <w:rFonts w:hint="eastAsia" w:ascii="宋体" w:hAnsi="宋体" w:eastAsia="宋体" w:cs="宋体"/>
          <w:spacing w:val="14"/>
          <w:sz w:val="24"/>
          <w:szCs w:val="24"/>
        </w:rPr>
        <w:t>1.1词语定义与解释</w:t>
      </w:r>
      <w:bookmarkEnd w:id="38"/>
      <w:bookmarkEnd w:id="3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合同协议书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通用合同条款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专用合同条款中的下列词语具有本款所赋予的含义：</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1.1.1 合同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1.1.1.1 合同：是指根据法律规定和合同当事人约定具有约束力的文件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构成合同的文件包括合同协议书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中标通知书（如果有）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投标函及其附录（如果有）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专用合同条款及其附件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通用合同条款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技术标准和要求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图纸</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已标价工程量清单或预算书以及其他合同文件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1.1.1.2 合同协议书：是指构成合同的由发包人和承包人共同签署的称为“合同协议书”的书面文件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1.1.1.3 中标通知书：是指构成合同的由发包人通知承包人中标的书面文件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1.1.1.4 投标函：是指构成合同的由承包人填写并签署的用于投标的称为“投标函”的文件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1.1.1.5 投标函附录：是指构成合同的附在投标函后的称为“投标函附录”的文件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1.1.1.6 技术标准和要求：是指构成合同的施工应当遵守的或指导施工的国家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行业或地方的技术标准和要求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以及合同约定的技术标准和要求</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1.1.1.7 图纸：是指构成合同的图纸</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包括由发包人按照合同约定提供或经发包人批准的设计文件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鸟瞰图及模型等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以及在合同履行过程中形成的图纸文件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图纸应当按照法律规定审查合格</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1.1.1.8 已标价工程量清单：是指构成合同的由承包人按照规定的格式和要求填写并标明价格的工程量清单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包括说明和表格</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1.1.1.9 预算书：是指构成合同的由承包人按照发包人规定的格式和要求编制的工程预算文件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1.1.1.10 其他合同文件：是指经合同当事人约定的与工程施工有关的具有合同约束力的文件或书面协议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合同当事人可以在专用合同条款中进行约定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1.1.2 合同当事人及其他相关方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1.1.2.1 合同当事人：是指发包人和（或）承包人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1.1.2.2 发包人：是指与承包人签订合同协议书的当事人及取得该当事人资格的合法继承人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1.1.2.3 承包人：是指与发包人签订合同协议书的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具有相应工程施工承包资质的当事人及取得该当事人资格的合法继承人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1.1.2.4 监理人：是指在专用合同条款中指明的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受发包人委托按照法律规定进行工程监督管理的法人或其他组织</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1.1.2.5 设计人：是指在专用合同条款中指明的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受发包人委托负责工程设计并具备相应工程设计资质的法人或其他组织</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1.1.2.6 分包人：是指按照法律规定和合同约定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分包部分工程或工作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并与承包人签订分包合同的具有相应资质的法人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1.1.2.7 发包人代表：是指由发包人任命并派驻施工现场在发包人授权范围内行使发包人权利的人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1.1.2.8 项目经理：是指由承包人任命并派驻施工现场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在承包人授权范围内负责合同履行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且按照法律规定具有相应资格的项目负责人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1.1.2.9 总监理工程师：是指由监理人任命并派驻施工现场进行工程监理的总负责人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1.1.3 工程和设备</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1.1.3.1 工程：是指与合同协议书中工程承包范围对应的永久工程和（或）临时工程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1.1.3.2 永久工程：是指按合同约定建造并移交给发包人的工程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包括工程设备</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1.1.3.3 临时工程：是指为完成合同约定的永久工程所修建的各类临时性工程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不包括施工设备</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1.1.3.4 单位工程：是指在合同协议书中指明的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具备独立施工条件并能形成独立使用功能的永久工程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1.1.3.5 工程设备：是指构成永久工程的机电设备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金属结构设备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仪器及其他类似的设备和装置</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1.1.3.6 施工设备：是指为完成合同约定的各项工作所需的设备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器具和其他物品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但不包括工程设备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临时工程和材料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1.1.3.7 施工现场：是指用于工程施工的场所</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以及在专用合同条款中指明作为施工场所组成部分的其他场所</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包括永久占地和临时占地</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1.1.3.8临时设施：是指为完成合同约定的各项工作所服务的临时性生产和生活设施</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1.1.3.9 永久占地：是指专用合同条款中指明为实施工程需永久占用的土地</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1.1.3.10 临时占地：是指专用合同条款中指明为实施工程需要临时占用的土地</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1.1.4 日期和期限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1.1.4.1 开工日期：包括计划开工日期和实际开工日期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计划开工日期是指合同协议书约定的开工日期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实际开工日期是指监理人按照第7.3.2项〔开工通知〕约定发出的符合法律规定的开工通知中载明的开工日期</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1.1.4.2 竣工日期：包括计划竣工日期和实际竣工日期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计划竣工日期是指合同协议书约定的竣工日期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实际竣工日期按照第13.2.3项〔竣工日期〕的约定确定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1.1.4.3 工期：是指在合同协议书约定的承包人完成工程所需的期限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包括按照合同约定所作的期限变更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1.1.4.4 缺陷责任期：是指承包人按照合同约定承担缺陷修复义务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且发包人预留质量保证金（已缴纳履约保证金的除外）的期限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自工程实际竣工日期起计算</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1.1.4.5 保修期：是指承包人按照合同约定对工程承担保修责任的期限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从工程竣工验收合格之日起计算</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1.1.4.6 基准日期：招标发包的工程以投标截止日前28天的日期为基准日期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直接发包的工程以合同签订日前28天的日期为基准日期</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1.1.4.7 天：除特别指明外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均指日历天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合同中按天计算时间的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开始当天不计入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从次日开始计算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期限最后一天的截止时间为当天24:00时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1.1.5 合同价格和费用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1.1.5.1 签约合同价：是指发包人和承包人在合同协议书中确定的总金额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包括安全文明施工费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暂估价及暂列金额等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1.1.5.2 合同价格：是指发包人用于支付承包人按照合同约定完成承包范围内全部工作的金额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包括合同履行过程中按合同约定发生的价格变化</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1.1.5.3 费用：是指为履行合同所发生的或将要发生的所有必需的开支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包括管理费和应分摊的其他费用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但不包括利润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1.1.5.4 暂估价：是指发包人在工程量清单或预算书中提供的用于支付必然发生但暂时不能确定价格的材料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工程设备的单价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专业工程以及服务工作的金额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1.1.5.5 暂列金额：是指发包人在工程量清单或预算书中暂定并包括在合同价格中的一笔款项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用于工程合同签订时尚未确定或者不可预见的所需材料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服务的采购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施工中可能发生的工程变更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合同约定调整因素出现时的合同价格调整以及发生的索赔</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现场签证确认等的费用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1.1.5.6 计日工：是指合同履行过程中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承包人完成发包人提出的零星工作或需要采用计日工计价的变更工作时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按合同中约定的单价计价的一种方式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1.1.5.7 质量保证金：是指按照第15.3款〔质量保证金〕约定承包人用于保证其在缺陷责任期内履行缺陷修补义务的担保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1.1.5.8 总价项目：是指在现行国家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行业以及地方的计量规则中无工程量计算规则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在已标价工程量清单或预算书中以总价或以费率形式计算的项目</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1.1.6 其他</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1.1.6.1 书面形式：是指合同文件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信函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电报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传真等可以有形地表现所载内容的形式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0" w:name="_Toc18008"/>
      <w:bookmarkStart w:id="41" w:name="_Toc28326"/>
      <w:r>
        <w:rPr>
          <w:rFonts w:hint="eastAsia" w:ascii="宋体" w:hAnsi="宋体" w:eastAsia="宋体" w:cs="宋体"/>
          <w:spacing w:val="14"/>
          <w:sz w:val="24"/>
          <w:szCs w:val="24"/>
        </w:rPr>
        <w:t>1.2语言文字</w:t>
      </w:r>
      <w:bookmarkEnd w:id="40"/>
      <w:bookmarkEnd w:id="4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合同以中国的汉语简体文字编写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解释和说明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合同当事人在专用合同条款中约定使用两种以上语言时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汉语为优先解释和说明合同的语言</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2" w:name="_Toc17022"/>
      <w:bookmarkStart w:id="43" w:name="_Toc12805"/>
      <w:r>
        <w:rPr>
          <w:rFonts w:hint="eastAsia" w:ascii="宋体" w:hAnsi="宋体" w:eastAsia="宋体" w:cs="宋体"/>
          <w:spacing w:val="14"/>
          <w:sz w:val="24"/>
          <w:szCs w:val="24"/>
        </w:rPr>
        <w:t>1.3法律</w:t>
      </w:r>
      <w:bookmarkEnd w:id="42"/>
      <w:bookmarkEnd w:id="4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合同所称法律是指中华人民共和国法律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行政法规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部门规章</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以及工程所在地的地方性法规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自治条例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单行条例和地方政府规章等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合同当事人可以在专用合同条款中约定合同适用的其他规范性文件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4" w:name="_Toc3966"/>
      <w:bookmarkStart w:id="45" w:name="_Toc24967"/>
      <w:r>
        <w:rPr>
          <w:rFonts w:hint="eastAsia" w:ascii="宋体" w:hAnsi="宋体" w:eastAsia="宋体" w:cs="宋体"/>
          <w:spacing w:val="14"/>
          <w:sz w:val="24"/>
          <w:szCs w:val="24"/>
        </w:rPr>
        <w:t>1.4 标准和规范</w:t>
      </w:r>
      <w:bookmarkEnd w:id="44"/>
      <w:bookmarkEnd w:id="4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1.4.1 适用于工程的国家标准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行业标准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工程所在地的地方性标准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以及相应的规范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规程等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合同当事人有特别要求的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应在专用合同条款中约定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1.4.2 发包人要求使用国外标准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规范的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发包人负责提供原文版本和中文译本</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并在专用合同条款中约定提供标准规范的名称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份数和时间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1.4.3 发包人对工程的技术标准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功能要求高于或严于现行国家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行业或地方标准的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应当在专用合同条款中予以明确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应视为承包人在签订合同前已充分预见前述技术标准和功能要求的复杂程度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签约合同价中已包含由此产生的费用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6" w:name="_Toc26889"/>
      <w:bookmarkStart w:id="47" w:name="_Toc2476"/>
      <w:r>
        <w:rPr>
          <w:rFonts w:hint="eastAsia" w:ascii="宋体" w:hAnsi="宋体" w:eastAsia="宋体" w:cs="宋体"/>
          <w:spacing w:val="14"/>
          <w:sz w:val="24"/>
          <w:szCs w:val="24"/>
        </w:rPr>
        <w:t>1.5 合同文件的优先顺序</w:t>
      </w:r>
      <w:bookmarkEnd w:id="46"/>
      <w:bookmarkEnd w:id="4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组成合同的各项文件应互相解释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互为说明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解释合同文件的优先顺序如下：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（1）合同协议书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（2）中标通知书（如果有）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（3）投标函及其附录（如果有）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（4）专用合同条款及其附件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（5）通用合同条款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（6）技术标准和要求</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（7）图纸</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（8）已标价工程量清单或预算书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（9）其他合同文件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上述各项合同文件包括合同当事人就该项合同文件所作出的补充和修改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属于同一类内容的文件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应以最新签署的为准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在合同订立及履行过程中形成的与合同有关的文件均构成合同文件组成部分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并根据其性质确定优先解释顺序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8" w:name="_Toc19510"/>
      <w:bookmarkStart w:id="49" w:name="_Toc17072"/>
      <w:r>
        <w:rPr>
          <w:rFonts w:hint="eastAsia" w:ascii="宋体" w:hAnsi="宋体" w:eastAsia="宋体" w:cs="宋体"/>
          <w:spacing w:val="14"/>
          <w:sz w:val="24"/>
          <w:szCs w:val="24"/>
        </w:rPr>
        <w:t>1.6图纸和承包人文件</w:t>
      </w:r>
      <w:bookmarkEnd w:id="48"/>
      <w:bookmarkEnd w:id="4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1.6.1 图纸的提供和交底</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发包人应按照专用合同条款约定的期限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数量和内容向承包人免费提供图纸</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并组织承包人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监理人和设计人进行图纸会审和设计交底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发包人至迟不得晚于第7.3.2项〔开工通知〕载明的开工日期前14天向承包人提供图纸</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因发包人未按合同约定提供图纸导致承包人费用增加和（或）工期延误的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按照第7.5.1项〔因发包人原因导致工期延误〕约定办理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1.6.2 图纸的错误</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承包人在收到发包人提供的图纸后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发现图纸存在差错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遗漏或缺陷的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应及时通知监理人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监理人接到该通知后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应附具相关意见并立即报送发包人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发包人应在收到监理人报送的通知后的合理时间内作出决定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合理时间是指发包人在收到监理人的报送通知后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尽其努力且不懈怠地完成图纸修改补充所需的时间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1.6.3 图纸的修改和补充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图纸需要修改和补充的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应经图纸原设计人及审批部门同意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并由监理人在工程或工程相应部位施工前将修改后的图纸或补充图纸提交给承包人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承包人应按修改或补充后的图纸施工</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1.6.4 承包人文件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承包人应按照专用合同条款的约定提供应当由其编制的与工程施工有关的文件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并按照专用合同条款约定的期限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数量和形式提交监理人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并由监理人报送发包人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监理人应在收到承包人文件后7天内审查完毕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监理人对承包人文件有异议的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承包人应予以修改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并重新报送监理人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监理人的审查并不减轻或免除承包人根据合同约定应当承担的责任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1.6.5 图纸和承包人文件的保管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承包人应在施工现场另外保存一套完整的图纸和承包人文件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供发包人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监理人及有关人员进行工程检查时使用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0" w:name="_Toc16946"/>
      <w:bookmarkStart w:id="51" w:name="_Toc32697"/>
      <w:r>
        <w:rPr>
          <w:rFonts w:hint="eastAsia" w:ascii="宋体" w:hAnsi="宋体" w:eastAsia="宋体" w:cs="宋体"/>
          <w:spacing w:val="14"/>
          <w:sz w:val="24"/>
          <w:szCs w:val="24"/>
        </w:rPr>
        <w:t>1.7联络</w:t>
      </w:r>
      <w:bookmarkEnd w:id="50"/>
      <w:bookmarkEnd w:id="5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rPr>
        <w:t>1.7.1 与合同有关的通知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批准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证明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证书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指令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请求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意见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确定和决定等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均应采用书面形式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并应在合同约定的期限内送达接收人和送达地点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1.7.2 发包人和承包人应在专用合同条款中约定各自的送达接收人和送达地点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任何一方合同当事人指定的接收人或送达地点发生变动的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应提前3天以书面形式通知对方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1.7.3 发包人和承包人应当及时签收另一方送达至送达地点和指定接收人的来往信函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拒不签收的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由此增加的费用和（或）延误的工期由拒绝接收一方承担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2" w:name="_Toc29925"/>
      <w:bookmarkStart w:id="53" w:name="_Toc23316"/>
      <w:r>
        <w:rPr>
          <w:rFonts w:hint="eastAsia" w:ascii="宋体" w:hAnsi="宋体" w:eastAsia="宋体" w:cs="宋体"/>
          <w:spacing w:val="14"/>
          <w:sz w:val="24"/>
          <w:szCs w:val="24"/>
        </w:rPr>
        <w:t>1.8严禁贿赂</w:t>
      </w:r>
      <w:bookmarkEnd w:id="52"/>
      <w:bookmarkEnd w:id="5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合同当事人不得以贿赂或变相贿赂的方式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谋取非法利益或损害对方权益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因一方合同当事人的贿赂造成对方损失的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应赔偿损失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并承担相应的法律责任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承包人不得与监理人或发包人聘请的第三方串通损害发包人利益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未经发包人书面同意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承包人不得为监理人提供合同约定以外的通讯设备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交通工具及其他任何形式的利益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不得向监理人支付报酬</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4" w:name="_Toc1351"/>
      <w:bookmarkStart w:id="55" w:name="_Toc29069"/>
      <w:r>
        <w:rPr>
          <w:rFonts w:hint="eastAsia" w:ascii="宋体" w:hAnsi="宋体" w:eastAsia="宋体" w:cs="宋体"/>
          <w:spacing w:val="14"/>
          <w:sz w:val="24"/>
          <w:szCs w:val="24"/>
        </w:rPr>
        <w:t>1.9化石</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文物</w:t>
      </w:r>
      <w:bookmarkEnd w:id="54"/>
      <w:bookmarkEnd w:id="5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在施工现场发掘的所有文物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古迹以及具有地质研究或考古价值的其他遗迹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化石</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钱币或物品属于国家所有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一旦发现上述文物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承包人应采取合理有效的保护措施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防止任何人员移动或损坏上述物品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并立即报告有关政府行政管理部门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同时通知监理人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监理人和承包人应按有关政府行政管理部门要求采取妥善的保护措施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由此增加的费用和（或）延误的工期由发包人承担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承包人发现文物后不及时报告或隐瞒不报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致使文物丢失或损坏的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应赔偿损失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并承担相应的法律责任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6" w:name="_Toc26463"/>
      <w:bookmarkStart w:id="57" w:name="_Toc21684"/>
      <w:r>
        <w:rPr>
          <w:rFonts w:hint="eastAsia" w:ascii="宋体" w:hAnsi="宋体" w:eastAsia="宋体" w:cs="宋体"/>
          <w:spacing w:val="14"/>
          <w:sz w:val="24"/>
          <w:szCs w:val="24"/>
        </w:rPr>
        <w:t>1.10交通运输</w:t>
      </w:r>
      <w:bookmarkEnd w:id="56"/>
      <w:bookmarkEnd w:id="5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1.10.1 出入现场的权利</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发包人应根据施工需要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负责取得出入施工现场所需的批准手续和全部权利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以及取得因施工所需修建道路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桥梁以及其他基础设施的权利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并承担相关手续费用和建设费用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承包人应协助发包人办理修建场内外道路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桥梁以及其他基础设施的手续</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承包人应在订立合同前查勘施工现场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并根据工程规模及技术参数合理预见工程施工所需的进出施工现场的方式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手段</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路径等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因承包人未合理预见所增加的费用和（或）延误的工期由承包人承担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1.10.2 场外交通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发包人应提供场外交通设施的技术参数和具体条件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承包人应遵守有关交通法规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严格按照道路和桥梁的限制荷载行驶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执行有关道路限速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限行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禁止超载的规定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并配合交通管理部门的监督和检查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场外交通设施无法满足工程施工需要的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由发包人负责完善并承担相关费用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1.10.3</w:t>
      </w:r>
      <w:r>
        <w:rPr>
          <w:rFonts w:hint="eastAsia" w:ascii="宋体" w:hAnsi="宋体" w:eastAsia="宋体" w:cs="宋体"/>
          <w:spacing w:val="14"/>
          <w:sz w:val="24"/>
          <w:szCs w:val="24"/>
          <w:lang w:val="en-US" w:eastAsia="zh-CN"/>
        </w:rPr>
        <w:t xml:space="preserve"> </w:t>
      </w:r>
      <w:r>
        <w:rPr>
          <w:rFonts w:hint="eastAsia" w:ascii="宋体" w:hAnsi="宋体" w:eastAsia="宋体" w:cs="宋体"/>
          <w:spacing w:val="14"/>
          <w:sz w:val="24"/>
          <w:szCs w:val="24"/>
        </w:rPr>
        <w:t>场内交通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发包人应提供场内交通设施的技术参数和具体条件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并应按照专用合同条款的约定向承包人免费提供满足工程施工所需的场内道路和交通设施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因承包人原因造成上述道路或交通设施损坏的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承包人负责修复并承担由此增加的费用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除发包人按照合同约定提供的场内道路和交通设施外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承包人负责修建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维修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养护和管理施工所需的其他场内临时道路和交通设施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发包人和监理人可以为实现合同目的使用承包人修建的场内临时道路和交通设施</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场外交通和场内交通的边界由合同当事人在专用合同条款中约定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1.10.4 超大件和超重件的运输</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由承包人负责运输的超大件或超重件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应由承包人负责向交通管理部门办理申请手续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发包人给予协助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运输超大件或超重件所需的道路和桥梁临时加固改造费用和其他有关费用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但专用合同条款另有约定除外</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1.10.5 道路和桥梁的损坏责任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因承包人运输造成施工场地内外公共道路和桥梁损坏的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由承包人承担修复损坏的全部费用和可能引起的赔偿</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1.10.6 水路和航空运输</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本款前述各项的内容适用于水路运输和航空运输</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其中“道路”一词的涵义包括河道</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航线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船闸</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机场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码头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堤防以及水路或航空运输中其他相似结构物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“车辆”一词的涵义包括船舶和飞机等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8" w:name="_Toc8525"/>
      <w:bookmarkStart w:id="59" w:name="_Toc5885"/>
      <w:r>
        <w:rPr>
          <w:rFonts w:hint="eastAsia" w:ascii="宋体" w:hAnsi="宋体" w:eastAsia="宋体" w:cs="宋体"/>
          <w:spacing w:val="14"/>
          <w:sz w:val="24"/>
          <w:szCs w:val="24"/>
        </w:rPr>
        <w:t>1.11知识产权</w:t>
      </w:r>
      <w:bookmarkEnd w:id="58"/>
      <w:bookmarkEnd w:id="5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1.11.1 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发包人提供给承包人的图纸</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发包人为实施工程自行编制或委托编制的技术规范以及反映发包人要求的或其他类似性质的文件的著作权属于发包人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承包人可以为实现合同目的而复制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使用此类文件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但不能用于与合同无关的其他事项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未经发包人书面同意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承包人不得为了合同以外的目的而复制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使用上述文件或将之提供给任何第三方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1.11.2 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承包人为实施工程所编制的文件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除署名权以外的著作权属于发包人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承包人可因实施工程的运行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调试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维修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改造等目的而复制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使用此类文件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但不能用于与合同无关的其他事项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未经发包人书面同意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承包人不得为了合同以外的目的而复制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使用上述文件或将之提供给任何第三方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1.11.3 合同当事人保证在履行合同过程中不侵犯对方及第三方的知识产权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承包人在使用材料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工程设备或采用施工工艺时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因侵犯他人的专利权或其他知识产权所引起的责任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因发包人提供的材料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工程设备或施工工艺导致侵权的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由发包人承担责任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1.11.4 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承包人在合同签订前和签订时已确定采用的专利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专有技术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技术秘密的使用费已包含在签约合同价中</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0" w:name="_Toc11932"/>
      <w:bookmarkStart w:id="61" w:name="_Toc17678"/>
      <w:r>
        <w:rPr>
          <w:rFonts w:hint="eastAsia" w:ascii="宋体" w:hAnsi="宋体" w:eastAsia="宋体" w:cs="宋体"/>
          <w:spacing w:val="14"/>
          <w:sz w:val="24"/>
          <w:szCs w:val="24"/>
        </w:rPr>
        <w:t>1.12保密</w:t>
      </w:r>
      <w:bookmarkEnd w:id="60"/>
      <w:bookmarkEnd w:id="6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除法律规定或合同另有约定外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未经发包人同意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承包人不得将发包人提供的图纸</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文件以及声明需要保密的资料信息等商业秘密泄露给第三方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除法律规定或合同另有约定外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未经承包人同意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发包人不得将承包人提供的技术秘密及声明需要保密的资料信息等商业秘密泄露给第三方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2" w:name="_Toc20121"/>
      <w:bookmarkStart w:id="63" w:name="_Toc10049"/>
      <w:r>
        <w:rPr>
          <w:rFonts w:hint="eastAsia" w:ascii="宋体" w:hAnsi="宋体" w:eastAsia="宋体" w:cs="宋体"/>
          <w:spacing w:val="14"/>
          <w:sz w:val="24"/>
          <w:szCs w:val="24"/>
        </w:rPr>
        <w:t>1.13工程量清单错误的修正</w:t>
      </w:r>
      <w:bookmarkEnd w:id="62"/>
      <w:bookmarkEnd w:id="6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发包人提供的工程量清单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应被认为是准确的和完整的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出现下列情形之一时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发包人应予以修正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并相应调整合同价格：</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（1）工程量清单存在缺项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漏项的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（2）工程量清单偏差超出专用合同条款约定的工程量偏差范围的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（3）未按照国家现行计量规范强制性规定计量的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64" w:name="_Toc22336"/>
      <w:bookmarkStart w:id="65" w:name="_Toc11771"/>
      <w:r>
        <w:rPr>
          <w:rFonts w:hint="eastAsia" w:ascii="宋体" w:hAnsi="宋体" w:eastAsia="宋体" w:cs="宋体"/>
          <w:spacing w:val="14"/>
          <w:sz w:val="24"/>
          <w:szCs w:val="24"/>
        </w:rPr>
        <w:t>2. 发包人</w:t>
      </w:r>
      <w:bookmarkEnd w:id="64"/>
      <w:bookmarkEnd w:id="6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6" w:name="_Toc31294"/>
      <w:bookmarkStart w:id="67" w:name="_Toc611"/>
      <w:r>
        <w:rPr>
          <w:rFonts w:hint="eastAsia" w:ascii="宋体" w:hAnsi="宋体" w:eastAsia="宋体" w:cs="宋体"/>
          <w:spacing w:val="14"/>
          <w:sz w:val="24"/>
          <w:szCs w:val="24"/>
        </w:rPr>
        <w:t>2.1 许可或批准</w:t>
      </w:r>
      <w:bookmarkEnd w:id="66"/>
      <w:bookmarkEnd w:id="6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发包人应遵守法律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并办理法律规定由其办理的许可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批准或备案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包括但不限于建设用地规划许可证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建设工程规划许可证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建设工程施工许可证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施工所需临时用水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临时用电</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中断道路交通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临时占用土地等许可和批准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发包人应协助承包人办理法律规定的有关施工证件和批件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因发包人原因未能及时办理完毕前述许可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批准或备案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由发包人承担由此增加的费用和（或）延误的工期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并支付承包人合理的利润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8" w:name="_Toc21221"/>
      <w:bookmarkStart w:id="69" w:name="_Toc7376"/>
      <w:r>
        <w:rPr>
          <w:rFonts w:hint="eastAsia" w:ascii="宋体" w:hAnsi="宋体" w:eastAsia="宋体" w:cs="宋体"/>
          <w:spacing w:val="14"/>
          <w:sz w:val="24"/>
          <w:szCs w:val="24"/>
        </w:rPr>
        <w:t>2.2 发包人代表</w:t>
      </w:r>
      <w:bookmarkEnd w:id="68"/>
      <w:bookmarkEnd w:id="6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发包人应在专用合同条款中明确其派驻施工现场的发包人代表的姓名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职务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联系方式及授权范围等事项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发包人代表在发包人的授权范围内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负责处理合同履行过程中与发包人有关的具体事宜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发包人代表在授权范围内的行为由发包人承担法律责任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发包人更换发包人代表的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应提前7天书面通知承包人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发包人代表不能按照合同约定履行其职责及义务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并导致合同无法继续正常履行的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承包人可以要求发包人撤换发包人代表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不属于法定必须监理的工程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监理人的职权可以由发包人代表或发包人指定的其他人员行使</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70" w:name="_Toc18442"/>
      <w:bookmarkStart w:id="71" w:name="_Toc25855"/>
      <w:r>
        <w:rPr>
          <w:rFonts w:hint="eastAsia" w:ascii="宋体" w:hAnsi="宋体" w:eastAsia="宋体" w:cs="宋体"/>
          <w:spacing w:val="14"/>
          <w:sz w:val="24"/>
          <w:szCs w:val="24"/>
        </w:rPr>
        <w:t>2.3 发包人人员</w:t>
      </w:r>
      <w:bookmarkEnd w:id="70"/>
      <w:bookmarkEnd w:id="7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发包人应要求在施工现场的发包人人员遵守法律及有关安全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质量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环境保护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文明施工等规定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并保障承包人免于承受因发包人人员未遵守上述要求给承包人造成的损失和责任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发包人人员包括发包人代表及其他由发包人派驻施工现场的人员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72" w:name="_Toc24394"/>
      <w:bookmarkStart w:id="73" w:name="_Toc27376"/>
      <w:r>
        <w:rPr>
          <w:rFonts w:hint="eastAsia" w:ascii="宋体" w:hAnsi="宋体" w:eastAsia="宋体" w:cs="宋体"/>
          <w:spacing w:val="14"/>
          <w:sz w:val="24"/>
          <w:szCs w:val="24"/>
        </w:rPr>
        <w:t>2.4 施工现场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施工条件和基础资料的提供</w:t>
      </w:r>
      <w:bookmarkEnd w:id="72"/>
      <w:bookmarkEnd w:id="7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2.4.1 提供施工现场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发包人应最迟于开工日期7天前向承包人移交施工现场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2.4.2 提供施工条件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发包人应负责提供施工所需要的条件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（1）将施工用水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电力</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通讯线路等施工所必需的条件接至施工现场内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（2）保证向承包人提供正常施工所需要的进入施工现场的交通条件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（3）协调处理施工现场周围地下管线和邻近建筑物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构筑物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古树名木的保护工作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并承担相关费用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（4）按照专用合同条款约定应提供的其他设施和条件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2.4.3 提供基础资料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发包人应当在移交施工现场前向承包人提供施工现场及工程施工所必需的毗邻区域内供水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排水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供电</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供气</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供热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广播电视等地下管线资料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气象和水文观测资料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地质勘察资料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相邻建筑物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构筑物和地下工程等有关基础资料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并对所提供资料的真实性</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准确性和完整性负责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按照法律规定确需在开工后方能提供的基础资料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发包人应尽其努力及时地在相应工程施工前的合理期限内提供</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合理期限应以不影响承包人的正常施工为限</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2.4.4 逾期提供的责任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因发包人原因未能按合同约定及时向承包人提供施工现场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基础资料的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由发包人承担由此增加的费用和（或）延误的工期</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74" w:name="_Toc13072"/>
      <w:bookmarkStart w:id="75" w:name="_Toc30060"/>
      <w:r>
        <w:rPr>
          <w:rFonts w:hint="eastAsia" w:ascii="宋体" w:hAnsi="宋体" w:eastAsia="宋体" w:cs="宋体"/>
          <w:spacing w:val="14"/>
          <w:sz w:val="24"/>
          <w:szCs w:val="24"/>
        </w:rPr>
        <w:t>2.5 资金来源证明及支付担保</w:t>
      </w:r>
      <w:bookmarkEnd w:id="74"/>
      <w:bookmarkEnd w:id="7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发包人应在收到承包人要求提供资金来源证明的书面通知后28天内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向承包人提供能够按照合同约定支付合同价款的相应资金来源证明</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发包人要求承包人提供履约担保的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发包人应当向承包人提供支付担保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支付担保可以采用银行保函或担保公司担保等形式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具体由合同当事人在专用合同条款中约定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76" w:name="_Toc8080"/>
      <w:bookmarkStart w:id="77" w:name="_Toc11398"/>
      <w:r>
        <w:rPr>
          <w:rFonts w:hint="eastAsia" w:ascii="宋体" w:hAnsi="宋体" w:eastAsia="宋体" w:cs="宋体"/>
          <w:spacing w:val="14"/>
          <w:sz w:val="24"/>
          <w:szCs w:val="24"/>
        </w:rPr>
        <w:t>2.6 支付合同价款</w:t>
      </w:r>
      <w:bookmarkEnd w:id="76"/>
      <w:bookmarkEnd w:id="7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发包人应按合同约定向承包人及时支付合同价款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78" w:name="_Toc27544"/>
      <w:bookmarkStart w:id="79" w:name="_Toc6907"/>
      <w:r>
        <w:rPr>
          <w:rFonts w:hint="eastAsia" w:ascii="宋体" w:hAnsi="宋体" w:eastAsia="宋体" w:cs="宋体"/>
          <w:spacing w:val="14"/>
          <w:sz w:val="24"/>
          <w:szCs w:val="24"/>
        </w:rPr>
        <w:t>2.7 组织竣工验收</w:t>
      </w:r>
      <w:bookmarkEnd w:id="78"/>
      <w:bookmarkEnd w:id="7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发包人应按合同约定及时组织竣工验收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80" w:name="_Toc15595"/>
      <w:bookmarkStart w:id="81" w:name="_Toc2353"/>
      <w:r>
        <w:rPr>
          <w:rFonts w:hint="eastAsia" w:ascii="宋体" w:hAnsi="宋体" w:eastAsia="宋体" w:cs="宋体"/>
          <w:spacing w:val="14"/>
          <w:sz w:val="24"/>
          <w:szCs w:val="24"/>
        </w:rPr>
        <w:t>2.8 现场统一管理协议</w:t>
      </w:r>
      <w:bookmarkEnd w:id="80"/>
      <w:bookmarkEnd w:id="8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发包人应与承包人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由发包人直接发包的专业工程的承包人签订施工现场统一管理协议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明确各方的权利义务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施工现场统一管理协议作为专用合同条款的附件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82" w:name="_Toc21875"/>
      <w:bookmarkStart w:id="83" w:name="_Toc18537"/>
      <w:r>
        <w:rPr>
          <w:rFonts w:hint="eastAsia" w:ascii="宋体" w:hAnsi="宋体" w:eastAsia="宋体" w:cs="宋体"/>
          <w:spacing w:val="14"/>
          <w:sz w:val="24"/>
          <w:szCs w:val="24"/>
        </w:rPr>
        <w:t>3. 承包人</w:t>
      </w:r>
      <w:bookmarkEnd w:id="82"/>
      <w:bookmarkEnd w:id="8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84" w:name="_Toc8190"/>
      <w:bookmarkStart w:id="85" w:name="_Toc2409"/>
      <w:r>
        <w:rPr>
          <w:rFonts w:hint="eastAsia" w:ascii="宋体" w:hAnsi="宋体" w:eastAsia="宋体" w:cs="宋体"/>
          <w:spacing w:val="14"/>
          <w:sz w:val="24"/>
          <w:szCs w:val="24"/>
        </w:rPr>
        <w:t>3.1 承包人的一般义务</w:t>
      </w:r>
      <w:bookmarkEnd w:id="84"/>
      <w:bookmarkEnd w:id="8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承包人在履行合同过程中应遵守法律和工程建设标准规范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并履行以下义务：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（1）办理法律规定应由承包人办理的许可和批准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并将办理结果书面报送发包人留存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（2）按法律规定和合同约定完成工程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并在保修期内承担保修义务</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（3）按法律规定和合同约定采取施工安全和环境保护措施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办理工伤保险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确保工程及人员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设备和设施的安全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（4）按合同约定的工作内容和施工进度要求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编制施工组织设计和施工措施计划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并对所有施工作业和施工方法的完备性和安全可靠性负责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（5）在进行合同约定的各项工作时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不得侵害发包人与他人使用公用道路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水源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市政管网等公共设施的权利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避免对邻近的公共设施产生干扰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承包人占用或使用他人的施工场地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影响他人作业或生活的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应承担相应责任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（6）按照第6.3款〔环境保护〕约定负责施工场地及其周边环境与生态的保护工作</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（7）按第6.1款〔安全文明施工〕约定采取施工安全措施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确保工程及其人员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设备和设施的安全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防止因工程施工造成的人身伤害和财产损失</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（8）将发包人按合同约定支付的各项价款专用于合同工程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且应及时支付其雇用人员工资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并及时向分包人支付合同价款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（9）按照法律规定和合同约定编制竣工资料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完成竣工资料立卷及归档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并按专用合同条款约定的竣工资料的套数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内容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时间等要求移交发包人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（10）应履行的其他义务</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86" w:name="_Toc5735"/>
      <w:bookmarkStart w:id="87" w:name="_Toc13915"/>
      <w:r>
        <w:rPr>
          <w:rFonts w:hint="eastAsia" w:ascii="宋体" w:hAnsi="宋体" w:eastAsia="宋体" w:cs="宋体"/>
          <w:spacing w:val="14"/>
          <w:sz w:val="24"/>
          <w:szCs w:val="24"/>
        </w:rPr>
        <w:t>3.2 项目经理</w:t>
      </w:r>
      <w:bookmarkEnd w:id="86"/>
      <w:bookmarkEnd w:id="8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3.2.1 项目经理应为合同当事人所确认的人选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并在专用合同条款中明确项目经理的姓名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职称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注册执业证书编号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联系方式及授权范围等事项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项目经理经承包人授权后代表承包人负责履行合同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项目经理应是承包人正式聘用的员工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承包人应向发包人提交项目经理与承包人之间的劳动合同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以及承包人为项目经理缴纳社会保险的有效证明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承包人不提交上述文件的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项目经理无权履行职责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发包人有权要求更换项目经理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项目经理应常驻施工现场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且每月在施工现场时间不得少于专用合同条款约定的天数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项目经理不得同时担任其他项目的项目经理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项目经理确需离开施工现场时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应事先通知监理人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并取得发包人的书面同意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项目经理的通知中应当载明临时代行其职责的人员的注册执业资格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管理经验等资料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该人员应具备履行相应职责的能力</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承包人违反上述约定的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应按照专用合同条款的约定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承担违约责任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3.2.2 项目经理按合同约定组织工程实施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在紧急情况下为确保施工安全和人员安全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在无法与发包人代表和总监理工程师及时取得联系时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项目经理有权采取必要的措施保证与工程有关的人身</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财产和工程的安全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但应在48小时内向发包人代表和总监理工程师提交书面报告</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3.2.3 承包人需要更换项目经理的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应提前14天书面通知发包人和监理人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并征得发包人书面同意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通知中应当载明继任项目经理的注册执业资格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管理经验等资料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继任项目经理继续履行第3.2.1项约定的职责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未经发包人书面同意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承包人不得擅自更换项目经理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承包人擅自更换项目经理的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应按照专用合同条款的约定承担违约责任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3.2.4 发包人有权书面通知承包人更换其认为不称职的项目经理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通知中应当载明要求更换的理由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承包人应在接到更换通知后14天内向发包人提出书面的改进报告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发包人收到改进报告后仍要求更换的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承包人应在接到第二次更换通知的28天内进行更换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并将新任命的项目经理的注册执业资格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管理经验等资料书面通知发包人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继任项目经理继续履行第3.2.1项约定的职责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承包人无正当理由拒绝更换项目经理的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应按照专用合同条款的约定承担违约责任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3.2.5 项目经理因特殊情况授权其下属人员履行其某项工作职责的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该下属人员应具备履行相应职责的能力</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并应提前7天将上述人员的姓名和授权范围书面通知监理人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并征得发包人书面同意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88" w:name="_Toc23522"/>
      <w:bookmarkStart w:id="89" w:name="_Toc14782"/>
      <w:r>
        <w:rPr>
          <w:rFonts w:hint="eastAsia" w:ascii="宋体" w:hAnsi="宋体" w:eastAsia="宋体" w:cs="宋体"/>
          <w:spacing w:val="14"/>
          <w:sz w:val="24"/>
          <w:szCs w:val="24"/>
        </w:rPr>
        <w:t>3.3 承包人人员</w:t>
      </w:r>
      <w:bookmarkEnd w:id="88"/>
      <w:bookmarkEnd w:id="8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3.3.1 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承包人应在接到开工通知后7天内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向监理人提交承包人项目管理机构及施工现场人员安排的报告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其内容应包括合同管理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技术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质量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财务等主要施工管理人员名单及其岗位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注册执业资格等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以及各工种技术工人的安排情况</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并同时提交主要施工管理人员与承包人之间的劳动关系证明和缴纳社会保险的有效证明</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3.3.2 承包人派驻到施工现场的主要施工管理人员应相对稳定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施工过程中如有变动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承包人应及时向监理人提交施工现场人员变动情况的报告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承包人更换主要施工管理人员时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应提前7天书面通知监理人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并征得发包人书面同意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通知中应当载明继任人员的注册执业资格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管理经验等资料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特殊工种作业人员均应持有相应的资格证明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监理人可以随时检查</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3.3.3 发包人对于承包人主要施工管理人员的资格或能力有异议的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承包人应提供资料证明被质疑人员有能力完成其岗位工作或不存在发包人所质疑的情形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发包人要求撤换不能按照合同约定履行职责及义务的主要施工管理人员的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承包人应当撤换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承包人无正当理由拒绝撤换的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应按照专用合同条款的约定承担违约责任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3.3.4 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承包人的主要施工管理人员离开施工现场每月累计不超过5天的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应报监理人同意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离开施工现场每月累计超过5天的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应通知监理人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并征得发包人书面同意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主要施工管理人员离开施工现场前应指定一名有经验的人员临时代行其职责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该人员应具备履行相应职责的资格和能力</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且应征得监理人或发包人的同意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3.3.5 承包人擅自更换主要施工管理人员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或前述人员未经监理人或发包人同意擅自离开施工现场的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应按照专用合同条款约定承担违约责任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90" w:name="_Toc25079"/>
      <w:bookmarkStart w:id="91" w:name="_Toc12713"/>
      <w:r>
        <w:rPr>
          <w:rFonts w:hint="eastAsia" w:ascii="宋体" w:hAnsi="宋体" w:eastAsia="宋体" w:cs="宋体"/>
          <w:spacing w:val="14"/>
          <w:sz w:val="24"/>
          <w:szCs w:val="24"/>
        </w:rPr>
        <w:t>3.4 承包人现场查勘</w:t>
      </w:r>
      <w:bookmarkEnd w:id="90"/>
      <w:bookmarkEnd w:id="9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承包人应对基于发包人按照第2.4.3项〔提供基础资料〕提交的基础资料所做出的解释和推断负责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但因基础资料存在错误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遗漏导致承包人解释或推断失实的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由发包人承担责任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承包人应对施工现场和施工条件进行查勘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并充分了解工程所在地的气象条件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交通条件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风俗习惯以及其他与完成合同工作有关的其他资料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因承包人未能充分查勘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了解前述情况或未能充分估计前述情况所可能产生后果的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承包人承担由此增加的费用和（或）延误的工期</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92" w:name="_Toc15087"/>
      <w:bookmarkStart w:id="93" w:name="_Toc195"/>
      <w:r>
        <w:rPr>
          <w:rFonts w:hint="eastAsia" w:ascii="宋体" w:hAnsi="宋体" w:eastAsia="宋体" w:cs="宋体"/>
          <w:spacing w:val="14"/>
          <w:sz w:val="24"/>
          <w:szCs w:val="24"/>
        </w:rPr>
        <w:t>3.5 分包</w:t>
      </w:r>
      <w:bookmarkEnd w:id="92"/>
      <w:bookmarkEnd w:id="9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3.5.1 分包的一般约定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承包人不得将其承包的全部工程转包给第三人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或将其承包的全部工程肢解后以分包的名义转包给第三人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承包人不得将工程主体结构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关键性工作及专用合同条款中禁止分包的专业工程分包给第三人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主体结构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关键性工作的范围由合同当事人按照法律规定在专用合同条款中予以明确</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承包人不得以劳务分包的名义转包或违法分包工程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3.5.2 分包的确定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承包人应按专用合同条款的约定进行分包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确定分包人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已标价工程量清单或预算书中给定暂估价的专业工程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按照第10.7款〔暂估价〕确定分包人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按照合同约定进行分包的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承包人应确保分包人具有相应的资质和能力</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工程分包不减轻或免除承包人的责任和义务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承包人和分包人就分包工程向发包人承担连带责任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除合同另有约定外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承包人应在分包合同签订后7天内向发包人和监理人提交分包合同副本</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3.5.3 分包管理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承包人应向监理人提交分包人的主要施工管理人员表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并对分包人的施工人员进行实名制管理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包括但不限于进出场管理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登记造册以及各种证照的办理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3.5.4 分包合同价款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（1）除本项第（2）目约定的情况或专用合同条款另有约定外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分包合同价款由承包人与分包人结算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未经承包人同意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发包人不得向分包人支付分包工程价款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（2）生效法律文书要求发包人向分包人支付分包合同价款的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发包人有权从应付承包人工程款中扣除该部分款项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3.5.5 分包合同权益的转让</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分包人在分包合同项下的义务持续到缺陷责任期届满以后的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发包人有权在缺陷责任期届满前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要求承包人将其在分包合同项下的权益转让给发包人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承包人应当转让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除转让合同另有约定外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转让合同生效后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由分包人向发包人履行义务</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94" w:name="_Toc13163"/>
      <w:bookmarkStart w:id="95" w:name="_Toc9782"/>
      <w:r>
        <w:rPr>
          <w:rFonts w:hint="eastAsia" w:ascii="宋体" w:hAnsi="宋体" w:eastAsia="宋体" w:cs="宋体"/>
          <w:spacing w:val="14"/>
          <w:sz w:val="24"/>
          <w:szCs w:val="24"/>
        </w:rPr>
        <w:t>3.6 工程照管与成品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半成品保护</w:t>
      </w:r>
      <w:bookmarkEnd w:id="94"/>
      <w:bookmarkEnd w:id="9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自发包人向承包人移交施工现场之日起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承包人应负责照管工程及工程相关的材料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直到颁发工程接收证书之日止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（2）在承包人负责照管期间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因承包人原因造成工程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工程设备损坏的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由承包人负责修复或更换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并承担由此增加的费用和（或）延误的工期</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（3）对合同内分期完成的成品和半成品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在工程接收证书颁发前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由承包人承担保护责任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因承包人原因造成成品或半成品损坏的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由承包人负责修复或更换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并承担由此增加的费用和（或）延误的工期</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96" w:name="_Toc6726"/>
      <w:bookmarkStart w:id="97" w:name="_Toc11775"/>
      <w:r>
        <w:rPr>
          <w:rFonts w:hint="eastAsia" w:ascii="宋体" w:hAnsi="宋体" w:eastAsia="宋体" w:cs="宋体"/>
          <w:spacing w:val="14"/>
          <w:sz w:val="24"/>
          <w:szCs w:val="24"/>
        </w:rPr>
        <w:t>3.7 履约担保</w:t>
      </w:r>
      <w:bookmarkEnd w:id="96"/>
      <w:bookmarkEnd w:id="9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发包人需要承包人提供履约担保的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由合同当事人在专用合同条款中约定履约担保的方式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金额及期限等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履约担保可以采用银行保函或担保公司担保等形式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具体由合同当事人在专用合同条款中约定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因承包人原因导致工期延长的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继续提供履约担保所增加的费用由承包人承担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非因承包人原因导致工期延长的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继续提供履约担保所增加的费用由发包人承担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98" w:name="_Toc1936"/>
      <w:bookmarkStart w:id="99" w:name="_Toc31449"/>
      <w:r>
        <w:rPr>
          <w:rFonts w:hint="eastAsia" w:ascii="宋体" w:hAnsi="宋体" w:eastAsia="宋体" w:cs="宋体"/>
          <w:spacing w:val="14"/>
          <w:sz w:val="24"/>
          <w:szCs w:val="24"/>
        </w:rPr>
        <w:t>3.8 联合体</w:t>
      </w:r>
      <w:bookmarkEnd w:id="98"/>
      <w:bookmarkEnd w:id="9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3.8.1 联合体各方应共同与发包人签订合同协议书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联合体各方应为履行合同向发包人承担连带责任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3.8.2 联合体协议经发包人确认后作为合同附件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在履行合同过程中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未经发包人同意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不得修改联合体协议</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3.8.3 联合体牵头人负责与发包人和监理人联系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并接受指示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负责组织联合体各成员全面履行合同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100" w:name="_Toc18316"/>
      <w:bookmarkStart w:id="101" w:name="_Toc23587"/>
      <w:r>
        <w:rPr>
          <w:rFonts w:hint="eastAsia" w:ascii="宋体" w:hAnsi="宋体" w:eastAsia="宋体" w:cs="宋体"/>
          <w:spacing w:val="14"/>
          <w:sz w:val="24"/>
          <w:szCs w:val="24"/>
        </w:rPr>
        <w:t>4. 监理人</w:t>
      </w:r>
      <w:bookmarkEnd w:id="100"/>
      <w:bookmarkEnd w:id="10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02" w:name="_Toc26655"/>
      <w:bookmarkStart w:id="103" w:name="_Toc17157"/>
      <w:r>
        <w:rPr>
          <w:rFonts w:hint="eastAsia" w:ascii="宋体" w:hAnsi="宋体" w:eastAsia="宋体" w:cs="宋体"/>
          <w:spacing w:val="14"/>
          <w:sz w:val="24"/>
          <w:szCs w:val="24"/>
        </w:rPr>
        <w:t>4.1监理人的一般规定</w:t>
      </w:r>
      <w:bookmarkEnd w:id="102"/>
      <w:bookmarkEnd w:id="10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工程实行监理的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发包人和承包人应在专用合同条款中明确监理人的监理内容及监理权限等事项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监理人应当根据发包人授权及法律规定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代表发包人对工程施工相关事项进行检查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查验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审核</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验收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并签发相关指示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但监理人无权修改合同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且无权减轻或免除合同约定的承包人的任何责任与义务</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监理人在施工现场的办公场所</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生活场所由承包人提供</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所发生的费用由发包人承担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04" w:name="_Toc15504"/>
      <w:bookmarkStart w:id="105" w:name="_Toc1857"/>
      <w:r>
        <w:rPr>
          <w:rFonts w:hint="eastAsia" w:ascii="宋体" w:hAnsi="宋体" w:eastAsia="宋体" w:cs="宋体"/>
          <w:spacing w:val="14"/>
          <w:sz w:val="24"/>
          <w:szCs w:val="24"/>
        </w:rPr>
        <w:t>4.2监理人员</w:t>
      </w:r>
      <w:bookmarkEnd w:id="104"/>
      <w:bookmarkEnd w:id="10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发包人授予监理人对工程实施监理的权利由监理人派驻施工现场的监理人员行使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监理人员包括总监理工程师及监理工程师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监理人应将授权的总监理工程师和监理工程师的姓名及授权范围以书面形式提前通知承包人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更换总监理工程师的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监理人应提前7天书面通知承包人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更换其他监理人员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监理人应提前48小时书面通知承包人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06" w:name="_Toc7126"/>
      <w:bookmarkStart w:id="107" w:name="_Toc32304"/>
      <w:r>
        <w:rPr>
          <w:rFonts w:hint="eastAsia" w:ascii="宋体" w:hAnsi="宋体" w:eastAsia="宋体" w:cs="宋体"/>
          <w:spacing w:val="14"/>
          <w:sz w:val="24"/>
          <w:szCs w:val="24"/>
        </w:rPr>
        <w:t>4.3监理人的指示</w:t>
      </w:r>
      <w:bookmarkEnd w:id="106"/>
      <w:bookmarkEnd w:id="10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监理人应按照发包人的授权发出监理指示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监理人的指示应采用书面形式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并经其授权的监理人员签字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紧急情况下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为了保证施工人员的安全或避免工程受损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监理人员可以口头形式发出指示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该指示与书面形式的指示具有同等法律效力</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但必须在发出口头指示后24小时内补发书面监理指示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补发的书面监理指示应与口头指示一致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监理人发出的指示应送达承包人项目经理或经项目经理授权接收的人员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因监理人未能按合同约定发出指示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指示延误或发出了错误指示而导致承包人费用增加和（或）工期延误的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由发包人承担相应责任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总监理工程师不应将第4.4款〔商定或确定〕约定应由总监理工程师作出确定的权力授权或委托给其他监理人员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承包人对监理人发出的指示有疑问的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应向监理人提出书面异议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监理人应在48小时内对该指示予以确认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更改或撤销</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监理人逾期未回复的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承包人有权拒绝执行上述指示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监理人对承包人的任何工作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工程或其采用的材料和工程设备未在约定的或合理期限内提出意见的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视为批准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但不免除或减轻承包人对该工作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工程设备等应承担的责任和义务</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08" w:name="_Toc5740"/>
      <w:bookmarkStart w:id="109" w:name="_Toc6182"/>
      <w:r>
        <w:rPr>
          <w:rFonts w:hint="eastAsia" w:ascii="宋体" w:hAnsi="宋体" w:eastAsia="宋体" w:cs="宋体"/>
          <w:spacing w:val="14"/>
          <w:sz w:val="24"/>
          <w:szCs w:val="24"/>
        </w:rPr>
        <w:t>4.4 商定或确定</w:t>
      </w:r>
      <w:bookmarkEnd w:id="108"/>
      <w:bookmarkEnd w:id="10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合同当事人进行商定或确定时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总监理工程师应当会同合同当事人尽量通过协商达成一致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不能达成一致的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由总监理工程师按照合同约定审慎做出公正的确定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总监理工程师应将确定以书面形式通知发包人和承包人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并附详细依据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合同当事人对总监理工程师的确定没有异议的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按照总监理工程师的确定执行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任何一方合同当事人有异议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按照第20条〔争议解决〕约定处理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争议解决前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合同当事人暂按总监理工程师的确定执行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争议解决后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争议解决的结果与总监理工程师的确定不一致的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按照争议解决的结果执行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由此造成的损失由责任人承担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110" w:name="_Toc6834"/>
      <w:bookmarkStart w:id="111" w:name="_Toc10524"/>
      <w:r>
        <w:rPr>
          <w:rFonts w:hint="eastAsia" w:ascii="宋体" w:hAnsi="宋体" w:eastAsia="宋体" w:cs="宋体"/>
          <w:spacing w:val="14"/>
          <w:sz w:val="24"/>
          <w:szCs w:val="24"/>
        </w:rPr>
        <w:t>5. 工程质量</w:t>
      </w:r>
      <w:bookmarkEnd w:id="110"/>
      <w:bookmarkEnd w:id="11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12" w:name="_Toc6902"/>
      <w:bookmarkStart w:id="113" w:name="_Toc10083"/>
      <w:r>
        <w:rPr>
          <w:rFonts w:hint="eastAsia" w:ascii="宋体" w:hAnsi="宋体" w:eastAsia="宋体" w:cs="宋体"/>
          <w:spacing w:val="14"/>
          <w:sz w:val="24"/>
          <w:szCs w:val="24"/>
        </w:rPr>
        <w:t>5.1质量要求</w:t>
      </w:r>
      <w:bookmarkEnd w:id="112"/>
      <w:bookmarkEnd w:id="11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5.1.1 工程质量标准必须符合现行国家有关工程施工质量验收规范和标准的要求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有关工程质量的特殊标准或要求由合同当事人在专用合同条款中约定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5.1.2 因发包人原因造成工程质量未达到合同约定标准的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由发包人承担由此增加的费用和（或）延误的工期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并支付承包人合理的利润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5.1.3 因承包人原因造成工程质量未达到合同约定标准的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发包人有权要求承包人返工直至工程质量达到合同约定的标准为止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并由承包人承担由此增加的费用和（或）延误的工期</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14" w:name="_Toc22236"/>
      <w:bookmarkStart w:id="115" w:name="_Toc4222"/>
      <w:r>
        <w:rPr>
          <w:rFonts w:hint="eastAsia" w:ascii="宋体" w:hAnsi="宋体" w:eastAsia="宋体" w:cs="宋体"/>
          <w:spacing w:val="14"/>
          <w:sz w:val="24"/>
          <w:szCs w:val="24"/>
        </w:rPr>
        <w:t>5.2质量保证措施</w:t>
      </w:r>
      <w:bookmarkEnd w:id="114"/>
      <w:bookmarkEnd w:id="11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5.2.1 发包人的质量管理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发包人应按照法律规定及合同约定完成与工程质量有关的各项工作</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5.2.2 承包人的质量管理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承包人按照第7.1款〔施工组织设计〕约定向发包人和监理人提交工程质量保证体系及措施文件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建立完善的质量检查制度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并提交相应的工程质量文件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对于发包人和监理人违反法律规定和合同约定的错误指示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承包人有权拒绝实施</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承包人应对施工人员进行质量教育和技术培训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定期考核施工人员的劳动技能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严格执行施工规范和操作规程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承包人应按照法律规定和发包人的要求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工程设备以及工程的所有部位及其施工工艺进行全过程的质量检查和检验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并作详细记录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编制工程质量报表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报送监理人审查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此外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承包人还应按照法律规定和发包人的要求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进行施工现场取样试验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工程复核测量和设备性能检测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提供试验样品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提交试验报告和测量成果以及其他工作</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5.2.3 监理人的质量检查和检验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监理人按照法律规定和发包人授权对工程的所有部位及其施工工艺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材料和工程设备进行检查和检验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承包人应为监理人的检查和检验提供方便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包括监理人到施工现场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或制造</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加工地点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或合同约定的其他地方进行</w:t>
      </w:r>
      <w:r>
        <w:rPr>
          <w:rFonts w:hint="eastAsia" w:ascii="宋体" w:hAnsi="宋体" w:eastAsia="宋体" w:cs="宋体"/>
          <w:spacing w:val="14"/>
          <w:sz w:val="24"/>
          <w:szCs w:val="24"/>
          <w:lang w:eastAsia="zh-CN"/>
        </w:rPr>
        <w:t>查看</w:t>
      </w:r>
      <w:r>
        <w:rPr>
          <w:rFonts w:hint="eastAsia" w:ascii="宋体" w:hAnsi="宋体" w:eastAsia="宋体" w:cs="宋体"/>
          <w:spacing w:val="14"/>
          <w:sz w:val="24"/>
          <w:szCs w:val="24"/>
        </w:rPr>
        <w:t>和查阅施工原始记录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监理人为此进行的检查和检验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不免除或减轻承包人按照合同约定应当承担的责任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监理人的检查和检验不应影响施工正常进行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监理人的检查和检验影响施工正常进行的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且经检查检验不合格的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影响正常施工的费用由承包人承担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工期不予顺延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经检查检验合格的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由此增加的费用和（或）延误的工期由发包人承担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16" w:name="_Toc12232"/>
      <w:bookmarkStart w:id="117" w:name="_Toc21642"/>
      <w:r>
        <w:rPr>
          <w:rFonts w:hint="eastAsia" w:ascii="宋体" w:hAnsi="宋体" w:eastAsia="宋体" w:cs="宋体"/>
          <w:spacing w:val="14"/>
          <w:sz w:val="24"/>
          <w:szCs w:val="24"/>
        </w:rPr>
        <w:t>5.3 隐蔽工程检查</w:t>
      </w:r>
      <w:bookmarkEnd w:id="116"/>
      <w:bookmarkEnd w:id="11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5.3.1承包人自检</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承包人应当对工程隐蔽部位进行自检</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并经自检确认是否具备覆盖条件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5.3.2检查程序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工程隐蔽部位经承包人自检确认具备覆盖条件的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承包人应在共同检查前48小时书面通知监理人检查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通知中应载明隐蔽检查的内容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时间和地点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并应附有自检记录和必要的检查资料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监理人应按时到场并对隐蔽工程及其施工工艺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材料和工程设备进行检查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经监理人检查确认质量符合隐蔽要求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并在验收记录上签字后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承包人才能进行覆盖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经监理人检查质量不合格的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承包人应在监理人指示的时间内完成修复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并由监理人重新检查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监理人不能按时进行检查的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应在检查前24小时向承包人提交书面延期要求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但延期不能超过48小时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由此导致工期延误的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工期应予以顺延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监理人未按时进行检查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也未提出延期要求的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视为隐蔽工程检查合格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承包人可自行完成覆盖工作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并作相应记录报送监理人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监理人应签字确认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监理人事后对检查记录有疑问的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可按第5.3.3项〔重新检查〕的约定重新检查</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5.3.3 重新检查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承包人覆盖工程隐蔽部位后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发包人或监理人对质量有疑问的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可要求承包人对已覆盖的部位进行钻孔探测或揭开重新检查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承包人应遵照执行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并在检查后重新覆盖恢复原状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经检查证明工程质量符合合同要求的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由发包人承担由此增加的费用和（或）延误的工期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并支付承包人合理的利润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经检查证明工程质量不符合合同要求的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5.3.4 承包人私自覆盖</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承包人未通知监理人到场检查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私自将工程隐蔽部位覆盖的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监理人有权指示承包人钻孔探测或揭开检查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无论工程隐蔽部位质量是否合格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由此增加的费用和（或）延误的工期均由承包人承担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18" w:name="_Toc18624"/>
      <w:bookmarkStart w:id="119" w:name="_Toc30492"/>
      <w:r>
        <w:rPr>
          <w:rFonts w:hint="eastAsia" w:ascii="宋体" w:hAnsi="宋体" w:eastAsia="宋体" w:cs="宋体"/>
          <w:spacing w:val="14"/>
          <w:sz w:val="24"/>
          <w:szCs w:val="24"/>
        </w:rPr>
        <w:t>5.4不合格工程的处理</w:t>
      </w:r>
      <w:bookmarkEnd w:id="118"/>
      <w:bookmarkEnd w:id="11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5.4.1 因承包人原因造成工程不合格的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发包人有权随时要求承包人采取补救措施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直至达到合同要求的质量标准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无法补救的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按照第13.2.4项〔拒绝接收全部或部分工程〕约定执行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 xml:space="preserve">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5.4.2 因发包人原因造成工程不合格的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由此增加的费用和（或）延误的工期由发包人承担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并支付承包人合理的利润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20" w:name="_Toc12224"/>
      <w:bookmarkStart w:id="121" w:name="_Toc776"/>
      <w:r>
        <w:rPr>
          <w:rFonts w:hint="eastAsia" w:ascii="宋体" w:hAnsi="宋体" w:eastAsia="宋体" w:cs="宋体"/>
          <w:spacing w:val="14"/>
          <w:sz w:val="24"/>
          <w:szCs w:val="24"/>
        </w:rPr>
        <w:t>5.5 质量争议检测</w:t>
      </w:r>
      <w:bookmarkEnd w:id="120"/>
      <w:bookmarkEnd w:id="12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合同当事人对工程质量有争议的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由双方协商确定的工程质量检测机构鉴定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由此产生的费用及因此造成的损失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由责任方承担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合同当事人均有责任的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由双方根据其责任分别承担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合同当事人无法达成一致的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按照第4.4款〔商定或确定〕执行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122" w:name="_Toc28927"/>
      <w:bookmarkStart w:id="123" w:name="_Toc25030"/>
      <w:r>
        <w:rPr>
          <w:rFonts w:hint="eastAsia" w:ascii="宋体" w:hAnsi="宋体" w:eastAsia="宋体" w:cs="宋体"/>
          <w:spacing w:val="14"/>
          <w:sz w:val="24"/>
          <w:szCs w:val="24"/>
        </w:rPr>
        <w:t>6. 安全文明施工与环境保护</w:t>
      </w:r>
      <w:bookmarkEnd w:id="122"/>
      <w:bookmarkEnd w:id="12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24" w:name="_Toc16597"/>
      <w:bookmarkStart w:id="125" w:name="_Toc2970"/>
      <w:r>
        <w:rPr>
          <w:rFonts w:hint="eastAsia" w:ascii="宋体" w:hAnsi="宋体" w:eastAsia="宋体" w:cs="宋体"/>
          <w:spacing w:val="14"/>
          <w:sz w:val="24"/>
          <w:szCs w:val="24"/>
        </w:rPr>
        <w:t>6.1 安全文明施工</w:t>
      </w:r>
      <w:bookmarkEnd w:id="124"/>
      <w:bookmarkEnd w:id="12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6.1.1 安全生产要求</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合同履行期间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合同当事人均应当遵守国家和工程所在地有关安全生产的要求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合同当事人有特别要求的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应在专用合同条款中明确施工项目安全生产标准化达标目标及相应事项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承包人有权拒绝发包人及监理人强令承包人违章作业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冒险施工的任何指示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在施工过程中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如遇到突发的地质变动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事先未知的地下施工障碍等影响施工安全的紧急情况</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承包人应及时报告监理人和发包人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发包人应当及时下令停工并报政府有关行政管理部门采取应急措施</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因安全生产需要暂停施工的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按照第7.8款〔暂停施工〕的约定执行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6.1.2 安全生产保证措施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承包人应当按照有关规定编制安全技术措施或者专项施工方案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建立安全生产责任制度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治安保卫制度及安全生产教育培训制度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并按安全生产法律规定及合同约定履行安全职责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如实编制工程安全生产的有关记录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接受发包人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监理人及政府安全监督部门的检查与监督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6.1.3 特别安全生产事项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承包人应按照法律规定进行施工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开工前做好安全技术交底工作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施工过程中做好各项安全防护措施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承包人为实施合同而雇用的特殊工种的人员应受过专门的培训并已取得政府有关管理机构颁发的上岗证书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承包人在动力设备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输电线路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地下管道</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密封防震车间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易燃易爆地段以及临街交通要道附近施工时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施工开始前应向发包人和监理人提出安全防护措施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经发包人认可后实施</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实施爆破作业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在放射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毒害性环境中施工（含储存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运输</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使用）及使用毒害性</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腐蚀性物品施工时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承包人应在施工前7天以书面通知发包人和监理人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并报送相应的安全防护措施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经发包人认可后实施</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需单独编制危险性较大分部分项专项工程施工方案的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及要求进行专家论证的超过一定规模的危险性较大的分部分项工程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承包人应及时编制和组织论证</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6.1.4 治安保卫</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发包人应与当地公安部门协商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在现场建立治安管理机构或联防组织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统一管理施工场地的治安保卫事项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履行合同工程的治安保卫职责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发包人和承包人除应协助现场治安管理机构或联防组织维护施工场地的社会治安外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还应做好包括生活区在内的各自管辖区的治安保卫工作</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发包人和承包人应在工程开工后7天内共同编制施工场地治安管理计划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并制定应对突发治安事件的紧急预案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在工程施工过程中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发生暴乱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爆炸等恐怖事件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以及群殴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械斗等群体性突发治安事件的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发包人和承包人应立即向当地政府报告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发包人和承包人应积极协助当地有关部门采取措施平息事态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防止事态扩大</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尽量避免人员伤亡和财产损失</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6.1.5 文明施工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承包人在工程施工期间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应当采取措施保持施工现场平整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物料堆放整齐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工程所在地有关政府行政管理部门有特殊要求的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按照其要求执行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合同当事人对文明施工有其他要求的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可以在专用合同条款中明确</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在工程移交之前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承包人应当从施工现场清除承包人的全部工程设备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多余材料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垃圾和各种临时工程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并保持施工现场清洁整齐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经发包人书面同意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承包人可在发包人指定的地点保留承包人履行保修期内的各项义务所需要的材料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施工设备和临时工程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6.1.6 安全文明施工费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安全文明施工费由发包人承担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发包人不得以任何形式扣减该部分费用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因基准日期后合同所适用的法律或政府有关规定发生变化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增加的安全文明施工费由发包人承担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承包人经发包人同意采取合同约定以外的安全措施所产生的费用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未经发包人同意的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如果该措施避免了发包人的损失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则发包人在避免损失的额度内承担该措施费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如果该措施避免了承包人的损失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由承包人承担该措施费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发包人应在开工后28天内预付安全文明施工费总额的50%</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其余部分与进度款同期支付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发包人逾期支付安全文明施工费超过7天的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承包人有权向发包人发出要求预付的催告通知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发包人收到通知后7天内仍未支付的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承包人有权暂停施工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并按第16.1.1项〔发包人违约的情形〕执行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承包人对安全文明施工费应专款专用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承包人应在财务账目中单独列项备查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不得挪作他用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否则发包人有权责令其限期改正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逾期未改正的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可以责令其暂停施工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6.1.7 紧急情况处理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在工程实施期间或缺陷责任期内发生危及工程安全的事件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监理人通知承包人进行抢救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承包人声明无能力或不愿立即执行的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发包人有权雇佣其他人员进行抢救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此类抢救按合同约定属于承包人义务的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6.1.8 事故处理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工程施工过程中发生事故的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承包人应立即通知监理人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监理人应立即通知发包人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发包人和承包人应立即组织人员和设备进行紧急抢救和抢修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减少人员伤亡和财产损失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防止事故扩大</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并保护事故现场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需要移动现场物品时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应作出标记和书面记录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妥善保管有关证据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发包人和承包人应按国家有关规定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及时如实地向有关部门报告事故发生的情况</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以及正在采取的紧急措施等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6.1.9 安全生产责任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6.1.9.1 发包人的安全责任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发包人应负责赔偿以下各种情况造成的损失：</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（1）工程或工程的任何部分对土地的占用所造成的第三者财产损失</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（2）由于发包人原因在施工场地及其毗邻地带造成的第三者人身伤亡和财产损失</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（3）由于发包人原因对承包人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监理人造成的人员人身伤亡和财产损失</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（4）由于发包人原因造成的发包人自身人员的人身伤害以及财产损失</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6.1.9.2 承包人的安全责任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由于承包人原因在施工场地内及其毗邻地带造成的发包人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监理人以及第三者人员伤亡和财产损失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由承包人负责赔偿</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26" w:name="_Toc1460"/>
      <w:bookmarkStart w:id="127" w:name="_Toc311"/>
      <w:r>
        <w:rPr>
          <w:rFonts w:hint="eastAsia" w:ascii="宋体" w:hAnsi="宋体" w:eastAsia="宋体" w:cs="宋体"/>
          <w:spacing w:val="14"/>
          <w:sz w:val="24"/>
          <w:szCs w:val="24"/>
        </w:rPr>
        <w:t>6.2 职业健康</w:t>
      </w:r>
      <w:bookmarkEnd w:id="126"/>
      <w:bookmarkEnd w:id="12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6.2.1 劳动保护</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承包人应按照法律规定安排现场施工人员的劳动和休息时间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保障劳动者的休息时间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并支付合理的报酬和费用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承包人应依法为其履行合同所雇用的人员办理必要的证件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许可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保险和注册等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承包人应督促其分包人为分包人所雇用的人员办理必要的证件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许可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保险和注册等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承包人应按照法律规定保障现场施工人员的劳动安全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并提供劳动保护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并应按国家有关劳动保护的规定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采取</w:t>
      </w:r>
      <w:r>
        <w:rPr>
          <w:rFonts w:hint="eastAsia" w:ascii="宋体" w:hAnsi="宋体" w:eastAsia="宋体" w:cs="宋体"/>
          <w:spacing w:val="14"/>
          <w:sz w:val="24"/>
          <w:szCs w:val="24"/>
          <w:lang w:eastAsia="zh-CN"/>
        </w:rPr>
        <w:t>有效地防止</w:t>
      </w:r>
      <w:r>
        <w:rPr>
          <w:rFonts w:hint="eastAsia" w:ascii="宋体" w:hAnsi="宋体" w:eastAsia="宋体" w:cs="宋体"/>
          <w:spacing w:val="14"/>
          <w:sz w:val="24"/>
          <w:szCs w:val="24"/>
        </w:rPr>
        <w:t>粉尘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降低噪声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控制有害气体和保障高温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高寒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高空作业安全等劳动保护措施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承包人雇佣人员在施工中受到伤害的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承包人应立即采取有效措施进行抢救和治疗</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承包人应按法律规定安排工作时间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保证其雇佣人员享有休息和休假的权利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因工程施工的特殊需要占用休假日或延长工作时间的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应不超过法律规定的限度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并按法律规定给予补休或付酬</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6.2.2 生活条件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承包人应为其履行合同所雇用的人员提供必要的膳宿条件和生活环境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承包人应采取有效措施预防传染病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保证施工人员的健康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并定期对施工现场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施工人员生活基地和工程进行防疫和卫生的专业检查和处理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 xml:space="preserve"> 在远离城镇的施工场地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还应配备必要的伤病防治和急救的医务人员与医疗设施</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28" w:name="_Toc14144"/>
      <w:bookmarkStart w:id="129" w:name="_Toc3238"/>
      <w:r>
        <w:rPr>
          <w:rFonts w:hint="eastAsia" w:ascii="宋体" w:hAnsi="宋体" w:eastAsia="宋体" w:cs="宋体"/>
          <w:spacing w:val="14"/>
          <w:sz w:val="24"/>
          <w:szCs w:val="24"/>
        </w:rPr>
        <w:t>6.3 环境保护</w:t>
      </w:r>
      <w:bookmarkEnd w:id="128"/>
      <w:bookmarkEnd w:id="12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承包人应在施工组织设计中列明环境保护的具体措施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在合同履行期间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承包人应采取合理措施保护施工现场环境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对施工作业过程中可能引起的大气</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噪音以及固体废物污染采取具体可行的防范措施</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承包人应当承担因其原因引起的环境污染侵权损害赔偿责任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因上述环境污染引起纠纷而导致暂停施工的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130" w:name="_Toc17428"/>
      <w:bookmarkStart w:id="131" w:name="_Toc23287"/>
      <w:r>
        <w:rPr>
          <w:rFonts w:hint="eastAsia" w:ascii="宋体" w:hAnsi="宋体" w:eastAsia="宋体" w:cs="宋体"/>
          <w:spacing w:val="14"/>
          <w:sz w:val="24"/>
          <w:szCs w:val="24"/>
        </w:rPr>
        <w:t>7. 工期和进度</w:t>
      </w:r>
      <w:bookmarkEnd w:id="130"/>
      <w:bookmarkEnd w:id="13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32" w:name="_Toc16145"/>
      <w:bookmarkStart w:id="133" w:name="_Toc4653"/>
      <w:r>
        <w:rPr>
          <w:rFonts w:hint="eastAsia" w:ascii="宋体" w:hAnsi="宋体" w:eastAsia="宋体" w:cs="宋体"/>
          <w:spacing w:val="14"/>
          <w:sz w:val="24"/>
          <w:szCs w:val="24"/>
        </w:rPr>
        <w:t>7.1施工组织设计</w:t>
      </w:r>
      <w:bookmarkEnd w:id="132"/>
      <w:bookmarkEnd w:id="13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7.1.1 施工组织设计的内容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施工组织设计应包含以下内容：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（1）施工方案</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（2）施工现场平面布置图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（3）施工进度计划和保证措施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 xml:space="preserve">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（4）劳动力及材料供应计划</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（5）施工机械设备的选用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（6）质量保证体系及措施</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（7）安全生产</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文明施工措施</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（8）环境保护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成本控制措施</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（9）合同当事人约定的其他内容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7.1.2 施工组织设计的提交和修改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承包人应在合同签订后14天内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但至迟不得晚于第7.3.2项〔开工通知〕载明的开工日期前7天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向监理人提交详细的施工组织设计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并由监理人报送发包人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发包人和监理人应在监理人收到施工组织设计后7天内确认或提出修改意见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对发包人和监理人提出的合理意见和要求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承包人应自费修改完善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根据工程实际情况需要修改施工组织设计的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承包人应向发包人和监理人提交修改后的施工组织设计</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施工进度计划的编制和修改按照第7.2款〔施工进度计划〕执行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34" w:name="_Toc758"/>
      <w:bookmarkStart w:id="135" w:name="_Toc32553"/>
      <w:r>
        <w:rPr>
          <w:rFonts w:hint="eastAsia" w:ascii="宋体" w:hAnsi="宋体" w:eastAsia="宋体" w:cs="宋体"/>
          <w:spacing w:val="14"/>
          <w:sz w:val="24"/>
          <w:szCs w:val="24"/>
        </w:rPr>
        <w:t>7.2 施工进度计划</w:t>
      </w:r>
      <w:bookmarkEnd w:id="134"/>
      <w:bookmarkEnd w:id="13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7.2.1 施工进度计划的编制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承包人应按照第7.1款〔施工组织设计〕约定提交详细的施工进度计划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施工进度计划的编制应当符合国家法律规定和一般工程实践惯例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施工进度计划经发包人批准后实施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施工进度计划是控制工程进度的依据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发包人和监理人有权按照施工进度计划检查工程进度情况</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7.2.2 施工进度计划的修订</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施工进度计划不符合合同要求或与工程的实际进度不一致的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承包人应向监理人提交修订的施工进度计划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并附具有关措施和相关资料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由监理人报送发包人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发包人和监理人应在收到修订的施工进度计划后7天内完成审核和批准或提出修改意见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发包人和监理人对承包人提交的施工进度计划的确认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不能减轻或免除承包人根据法律规定和合同约定应承担的任何责任或义务</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36" w:name="_Toc3290"/>
      <w:bookmarkStart w:id="137" w:name="_Toc21770"/>
      <w:r>
        <w:rPr>
          <w:rFonts w:hint="eastAsia" w:ascii="宋体" w:hAnsi="宋体" w:eastAsia="宋体" w:cs="宋体"/>
          <w:spacing w:val="14"/>
          <w:sz w:val="24"/>
          <w:szCs w:val="24"/>
        </w:rPr>
        <w:t>7.3 开工</w:t>
      </w:r>
      <w:bookmarkEnd w:id="136"/>
      <w:bookmarkEnd w:id="13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7.3.1 开工准备</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承包人应按照第7.1款〔施工组织设计〕约定的期限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向监理人提交工程开工报审表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经监理人报发包人批准后执行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开工报审表应详细说明按施工进度计划正常施工所需的施工道路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临时设施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施工人员等落实情况以及工程的进度安排</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合同当事人应按约定完成开工准备工作</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7.3.2 开工通知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发包人应按照法律规定获得工程施工所需的许可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经发包人同意后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监理人发出的开工通知应符合法律规定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监理人应在计划开工日期7天前向承包人发出开工通知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工期自开工通知中载明的开工日期起算</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因发包人原因造成监理人未能在计划开工日期之日起90天内发出开工通知的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承包人有权提出价格调整要求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或者解除合同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发包人应当承担由此增加的费用和（或）延误的工期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并向承包人支付合理利润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38" w:name="_Toc21721"/>
      <w:bookmarkStart w:id="139" w:name="_Toc15330"/>
      <w:r>
        <w:rPr>
          <w:rFonts w:hint="eastAsia" w:ascii="宋体" w:hAnsi="宋体" w:eastAsia="宋体" w:cs="宋体"/>
          <w:spacing w:val="14"/>
          <w:sz w:val="24"/>
          <w:szCs w:val="24"/>
        </w:rPr>
        <w:t>7.4测量放线</w:t>
      </w:r>
      <w:bookmarkEnd w:id="138"/>
      <w:bookmarkEnd w:id="13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7.4.1 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发包人应在至迟不得晚于第7.3.2项〔开工通知〕载明的开工日期前7天通过监理人向承包人提供测量基准点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基准线和水准点及其书面资料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发包人应对其提供的测量基准点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基准线和水准点及其书面资料的真实性</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准确性和完整性负责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承包人发现发包人提供的测量基准点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基准线和水准点及其书面资料存在错误或疏漏的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应及时通知监理人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监理人应及时报告发包人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并会同发包人和承包人予以核实</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发包人应就如何处理和是否继续施工作出决定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并通知监理人和承包人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7.4.2 承包人负责施工过程中的全部施工测量放线工作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并配置具有相应资质的人员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合格的仪器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设备和其他物品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承包人应矫正工程的位置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标高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尺寸或准线中出现的任何差错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并对工程各部分的定位负责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施工过程中对施工现场内水准点等测量标志物的保护工作由承包人负责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40" w:name="_Toc2377"/>
      <w:bookmarkStart w:id="141" w:name="_Toc8291"/>
      <w:r>
        <w:rPr>
          <w:rFonts w:hint="eastAsia" w:ascii="宋体" w:hAnsi="宋体" w:eastAsia="宋体" w:cs="宋体"/>
          <w:spacing w:val="14"/>
          <w:sz w:val="24"/>
          <w:szCs w:val="24"/>
        </w:rPr>
        <w:t>7.5 工期延误</w:t>
      </w:r>
      <w:bookmarkEnd w:id="140"/>
      <w:bookmarkEnd w:id="14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7.5.1 因发包人原因导致工期延误</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在合同履行过程中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因下列情况导致工期延误和（或）费用增加的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由发包人承担由此延误的工期和（或）增加的费用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且发包人应支付承包人合理的利润：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（1）发包人未能按合同约定提供图纸或所提供图纸不符合合同约定的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（2）发包人未能按合同约定提供施工现场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基础资料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许可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批准等开工条件的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（3）发包人提供的测量基准点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基准线和水准点及其书面资料存在错误或疏漏的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（4）发包人未能在计划开工日期之日起7天内同意下达开工通知的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（5）发包人未能按合同约定日期支付工程预付款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进度款或竣工结算款的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（6）监理人未按合同约定发出指示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批准等文件的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（7）专用合同条款中约定的其他情形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因发包人原因未按计划开工日期开工的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发包人应按实际开工日期顺延竣工日期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确保实际工期不低于合同约定的工期总日历天数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因发包人原因导致工期延误需要修订施工进度计划的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按照第7.2.2项〔施工进度计划的修订〕执行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7.5.2 因承包人原因导致工期延误</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因承包人原因造成工期延误的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可以在专用合同条款中约定逾期竣工违约金的计算方法和逾期竣工违约金的上限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承包人支付逾期竣工违约金后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不免除承包人继续完成工程及修补缺陷的义务</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42" w:name="_Toc26573"/>
      <w:bookmarkStart w:id="143" w:name="_Toc22276"/>
      <w:r>
        <w:rPr>
          <w:rFonts w:hint="eastAsia" w:ascii="宋体" w:hAnsi="宋体" w:eastAsia="宋体" w:cs="宋体"/>
          <w:spacing w:val="14"/>
          <w:sz w:val="24"/>
          <w:szCs w:val="24"/>
        </w:rPr>
        <w:t>7.6 不利物质条件</w:t>
      </w:r>
      <w:bookmarkEnd w:id="142"/>
      <w:bookmarkEnd w:id="14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不利物质条件是指有经验的承包人在施工现场遇到的不可预见的自然物质条件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非自然的物质障碍和污染物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包括地表以下物质条件和水文条件以及专用合同条款约定的其他情形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但不包括气候条件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承包人遇到不利物质条件时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应采取克服不利物质条件的合理措施继续施工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并及时通知发包人和监理人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通知应载明不利物质条件的内容以及承包人认为不可预见的理由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监理人经发包人同意后应当及时发出指示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指示构成变更的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按第10条〔变更〕约定执行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承包人因采取合理措施而增加的费用和（或）延误的工期由发包人承担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44" w:name="_Toc7141"/>
      <w:bookmarkStart w:id="145" w:name="_Toc21113"/>
      <w:r>
        <w:rPr>
          <w:rFonts w:hint="eastAsia" w:ascii="宋体" w:hAnsi="宋体" w:eastAsia="宋体" w:cs="宋体"/>
          <w:spacing w:val="14"/>
          <w:sz w:val="24"/>
          <w:szCs w:val="24"/>
        </w:rPr>
        <w:t>7.7 异常恶劣的气候条件</w:t>
      </w:r>
      <w:bookmarkEnd w:id="144"/>
      <w:bookmarkEnd w:id="14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异常恶劣的气候条件是指在施工过程中遇到的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有经验的承包人在签订合同时不可预见的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对合同履行造成实质性影响的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但尚未构成不可抗力事件的恶劣气候条件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合同当事人可以在专用合同条款中约定异常恶劣的气候条件的具体情形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承包人应采取克服异常恶劣的气候条件的合理措施继续施工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并及时通知发包人和监理人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监理人经发包人同意后应当及时发出指示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指示构成变更的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按第10条〔变更〕约定办理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承包人因采取合理措施而增加的费用和（或）延误的工期由发包人承担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46" w:name="_Toc4961"/>
      <w:bookmarkStart w:id="147" w:name="_Toc21180"/>
      <w:r>
        <w:rPr>
          <w:rFonts w:hint="eastAsia" w:ascii="宋体" w:hAnsi="宋体" w:eastAsia="宋体" w:cs="宋体"/>
          <w:spacing w:val="14"/>
          <w:sz w:val="24"/>
          <w:szCs w:val="24"/>
        </w:rPr>
        <w:t>7.8 暂停施工</w:t>
      </w:r>
      <w:bookmarkEnd w:id="146"/>
      <w:bookmarkEnd w:id="14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7.8.1发包人原因引起的暂停施工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因发包人原因引起暂停施工的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监理人经发包人同意后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应及时下达暂停施工指示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情况紧急且监理人未及时下达暂停施工指示的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按照第7.8.4项〔紧急情况下的暂停施工〕执行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因发包人原因引起的暂停施工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发包人应承担由此增加的费用和（或）延误的工期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并支付承包人合理的利润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7.8.2 承包人原因引起的暂停施工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因承包人原因引起的暂停施工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承包人应承担由此增加的费用和（或）延误的工期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且承包人在收到监理人复工指示后84天内仍未复工的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视为第16.2.1项〔承包人违约的情形〕第（7）目约定的承包人无法继续履行合同的情形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7.8.3 指示暂停施工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监理人认为有必要时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并经发包人批准后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可向承包人作出暂停施工的指示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承包人应按监理人指示暂停施工</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7.8.4 紧急情况下的暂停施工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因紧急情况</w:t>
      </w:r>
      <w:r>
        <w:rPr>
          <w:rFonts w:hint="eastAsia" w:ascii="宋体" w:hAnsi="宋体" w:eastAsia="宋体" w:cs="宋体"/>
          <w:spacing w:val="14"/>
          <w:sz w:val="24"/>
          <w:szCs w:val="24"/>
          <w:lang w:eastAsia="zh-CN"/>
        </w:rPr>
        <w:t>需要</w:t>
      </w:r>
      <w:r>
        <w:rPr>
          <w:rFonts w:hint="eastAsia" w:ascii="宋体" w:hAnsi="宋体" w:eastAsia="宋体" w:cs="宋体"/>
          <w:spacing w:val="14"/>
          <w:sz w:val="24"/>
          <w:szCs w:val="24"/>
        </w:rPr>
        <w:t>暂停施工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且监理人未及时下达暂停施工指示的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承包人可先暂停施工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并及时通知监理人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监理人应在接到通知后24小时内发出指示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逾期未发出指示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视为同意承包人暂停施工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监理人不同意承包人暂停施工的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应说明理由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承包人对监理人的答复有异议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按照第20条〔争议解决〕约定处理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7.8.5 暂停施工后的复工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暂停施工后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发包人和承包人应采取有效措施积极消除暂停施工的影响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在工程复工前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监理人会同发包人和承包人确定因暂停施工造成的损失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并确定工程复工条件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当工程具备复工条件时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监理人应经发包人批准后向承包人发出复工通知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承包人应按照复工通知要求复工</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承包人无故拖延和拒绝复工的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承包人承担由此增加的费用和（或）延误的工期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因发包人原因无法按时复工的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按照第7.5.1项〔因发包人原因导致工期延误〕约定办理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7.8.6 暂停施工持续56天以上</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监理人发出暂停施工指示后56天内未向承包人发出复工通知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除该项停工属于第7.8.2项〔承包人原因引起的暂停施工〕及第17条〔不可抗力〕约定的情形外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承包人可向发包人提交书面通知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要求发包人在收到书面通知后28天内准许已暂停施工的部分或全部工程继续施工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发包人逾期不予批准的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则承包人可以通知发包人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将工程受影响的部分视为按第10.1款〔变更的范围〕第（2）项的可取消工作</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暂停施工持续84天以上不复工的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且不属于第7.8.2项〔承包人原因引起的暂停施工〕及第17条〔不可抗力〕约定的情形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并影响到整个工程以及合同目的实现的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承包人有权提出价格调整要求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或者解除合同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解除合同的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按照第16.1.3项〔因发包人违约解除合同〕执行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7.8.7 暂停施工期间的工程照管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暂停施工期间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承包人应负责妥善照管工程并提供安全保障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由此增加的费用由责任方承担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7.8.8 暂停施工的措施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暂停施工期间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发包人和承包人均应采取必要的措施确保工程质量及安全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防止因暂停施工扩大损失</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48" w:name="_Toc22604"/>
      <w:bookmarkStart w:id="149" w:name="_Toc6462"/>
      <w:r>
        <w:rPr>
          <w:rFonts w:hint="eastAsia" w:ascii="宋体" w:hAnsi="宋体" w:eastAsia="宋体" w:cs="宋体"/>
          <w:spacing w:val="14"/>
          <w:sz w:val="24"/>
          <w:szCs w:val="24"/>
        </w:rPr>
        <w:t>7.9提前竣工</w:t>
      </w:r>
      <w:bookmarkEnd w:id="148"/>
      <w:bookmarkEnd w:id="14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7.9.1 发包人要求承包人提前竣工的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发包人应通过监理人向承包人下达提前竣工指示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承包人应向发包人和监理人提交提前竣工建议书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提前竣工建议书应包括实施的方案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缩短的时间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增加的合同价格等内容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发包人接受该提前竣工建议书的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监理人应与发包人和承包人协商采取加快工程进度的措施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并修订施工进度计划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由此增加的费用由发包人承担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承包人认为提前竣工指示无法执行的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应向监理人和发包人提出书面异议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发包人和监理人应在收到异议后7天内予以答复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任何情况下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发包人不得压缩合理工期</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7.9.2 发包人要求承包人提前竣工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或承包人提出提前竣工的建议能够给发包人带来效益的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合同当事人可以在专用合同条款中约定提前竣工的奖励</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150" w:name="_Toc18088"/>
      <w:bookmarkStart w:id="151" w:name="_Toc7940"/>
      <w:r>
        <w:rPr>
          <w:rFonts w:hint="eastAsia" w:ascii="宋体" w:hAnsi="宋体" w:eastAsia="宋体" w:cs="宋体"/>
          <w:spacing w:val="14"/>
          <w:sz w:val="24"/>
          <w:szCs w:val="24"/>
        </w:rPr>
        <w:t>8. 材料与设备</w:t>
      </w:r>
      <w:bookmarkEnd w:id="150"/>
      <w:bookmarkEnd w:id="15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52" w:name="_Toc13723"/>
      <w:bookmarkStart w:id="153" w:name="_Toc17746"/>
      <w:r>
        <w:rPr>
          <w:rFonts w:hint="eastAsia" w:ascii="宋体" w:hAnsi="宋体" w:eastAsia="宋体" w:cs="宋体"/>
          <w:spacing w:val="14"/>
          <w:sz w:val="24"/>
          <w:szCs w:val="24"/>
        </w:rPr>
        <w:t>8.1发包人供应材料与工程设备</w:t>
      </w:r>
      <w:bookmarkEnd w:id="152"/>
      <w:bookmarkEnd w:id="15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发包人自行供应材料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应在签订合同时在专用合同条款的附件《发包人供应材料设备一览表》中明确材料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工程设备的品种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规格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型号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数量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单价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质量等级和送达地点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承包人应提前30天通过监理人以书面形式通知发包人供应材料与工程设备进场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承包人按照第7.2.2项〔施工进度计划的修订〕约定修订施工进度计划时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需同时提交经修订后的发包人供应材料与工程设备的进场计划</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54" w:name="_Toc9885"/>
      <w:bookmarkStart w:id="155" w:name="_Toc8437"/>
      <w:r>
        <w:rPr>
          <w:rFonts w:hint="eastAsia" w:ascii="宋体" w:hAnsi="宋体" w:eastAsia="宋体" w:cs="宋体"/>
          <w:spacing w:val="14"/>
          <w:sz w:val="24"/>
          <w:szCs w:val="24"/>
        </w:rPr>
        <w:t>8.2承包人采购材料与工程设备</w:t>
      </w:r>
      <w:bookmarkEnd w:id="154"/>
      <w:bookmarkEnd w:id="15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承包人负责采购材料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应按照设计和有关标准要求采购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并提供产品合格证明及出厂证明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工程设备质量负责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合同约定由承包人采购的材料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发包人不得指定生产厂家或供应商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发包人违反本款约定指定生产厂家或供应商的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承包人有权拒绝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并由发包人承担相应责任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56" w:name="_Toc28601"/>
      <w:bookmarkStart w:id="157" w:name="_Toc10393"/>
      <w:r>
        <w:rPr>
          <w:rFonts w:hint="eastAsia" w:ascii="宋体" w:hAnsi="宋体" w:eastAsia="宋体" w:cs="宋体"/>
          <w:spacing w:val="14"/>
          <w:sz w:val="24"/>
          <w:szCs w:val="24"/>
        </w:rPr>
        <w:t>8.3材料与工程设备的接收与拒收</w:t>
      </w:r>
      <w:bookmarkEnd w:id="156"/>
      <w:bookmarkEnd w:id="15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8.3.1 发包人应按《发包人供应材料设备一览表》约定的内容提供材料和工程设备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并向承包人提供产品合格证明及出厂证明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对其质量负责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发包人应提前24小时以书面形式通知承包人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监理人材料和工程设备到货时间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承包人负责材料和工程设备的清点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检验和接收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发包人提供的材料和工程设备的规格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数量或质量不符合合同约定的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或因发包人原因导致交货日期延误或交货地点变更等情况的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按照第16.1款〔发包人违约〕约定办理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8.3.2 承包人采购的材料和工程设备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应保证产品质量合格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承包人应在材料和工程设备到货前24小时通知监理人检验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承包人进行永久设备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材料的制造和生产的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应符合相关质量标准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并向监理人提交材料的样本以及有关资料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并应在使用该材料或工程设备之前获得监理人同意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承包人采购的材料和工程设备不符合设计或有关标准要求时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承包人应在监理人要求的合理期限内将不符合设计或有关标准要求的材料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工程设备运出施工现场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并重新采购符合要求的材料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58" w:name="_Toc32492"/>
      <w:bookmarkStart w:id="159" w:name="_Toc28533"/>
      <w:r>
        <w:rPr>
          <w:rFonts w:hint="eastAsia" w:ascii="宋体" w:hAnsi="宋体" w:eastAsia="宋体" w:cs="宋体"/>
          <w:spacing w:val="14"/>
          <w:sz w:val="24"/>
          <w:szCs w:val="24"/>
        </w:rPr>
        <w:t>8.4材料与工程设备的保管与使用</w:t>
      </w:r>
      <w:bookmarkEnd w:id="158"/>
      <w:bookmarkEnd w:id="15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8.4.1 发包人供应材料与工程设备的保管与使用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发包人供应的材料和工程设备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承包人清点后由承包人妥善保管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保管费用由发包人承担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但已标价工程量清单或预算书已经列支或专用合同条款另有约定除外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因承包人原因发生丢失毁损的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由承包人负责赔偿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监理人未通知承包人清点的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承包人不负责材料和工程设备的保管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由此导致丢失毁损的由发包人负责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发包人供应的材料和工程设备使用前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由承包人负责检验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检验费用由发包人承担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不合格的不得使用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8.4.2 承包人采购材料与工程设备的保管与使用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承包人采购的材料和工程设备由承包人妥善保管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保管费用由承包人承担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法律规定材料和工程设备使用前必须进行检验或试验的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承包人应按监理人的要求进行检验或试验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检验或试验费用由承包人承担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不合格的不得使用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发包人或监理人发现承包人使用不符合设计或有关标准要求的材料和工程设备时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有权要求承包人进行修复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拆除或重新采购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60" w:name="_Toc5358"/>
      <w:bookmarkStart w:id="161" w:name="_Toc14643"/>
      <w:r>
        <w:rPr>
          <w:rFonts w:hint="eastAsia" w:ascii="宋体" w:hAnsi="宋体" w:eastAsia="宋体" w:cs="宋体"/>
          <w:spacing w:val="14"/>
          <w:sz w:val="24"/>
          <w:szCs w:val="24"/>
        </w:rPr>
        <w:t>8.5禁止使用不合格的材料和工程设备</w:t>
      </w:r>
      <w:bookmarkEnd w:id="160"/>
      <w:bookmarkEnd w:id="16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8.5.1 监理人有权拒绝承包人提供的不合格材料或工程设备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并要求承包人立即进行更换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监理人应在更换后再次进行检查和检验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8.5.2 监理人发现承包人使用了不合格的材料和工程设备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承包人应按照监理人的指示立即改正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并禁止在工程中继续使用不合格的材料和工程设备</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8.5.3 发包人提供的材料或工程设备不符合合同要求的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承包人有权拒绝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并可要求发包人更换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由此增加的费用和（或）延误的工期由发包人承担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并支付承包人合理的利润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62" w:name="_Toc16008"/>
      <w:bookmarkStart w:id="163" w:name="_Toc6646"/>
      <w:r>
        <w:rPr>
          <w:rFonts w:hint="eastAsia" w:ascii="宋体" w:hAnsi="宋体" w:eastAsia="宋体" w:cs="宋体"/>
          <w:spacing w:val="14"/>
          <w:sz w:val="24"/>
          <w:szCs w:val="24"/>
        </w:rPr>
        <w:t>8.6 样品</w:t>
      </w:r>
      <w:bookmarkEnd w:id="162"/>
      <w:bookmarkEnd w:id="16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8.6.1</w:t>
      </w:r>
      <w:r>
        <w:rPr>
          <w:rFonts w:hint="eastAsia" w:ascii="宋体" w:hAnsi="宋体" w:eastAsia="宋体" w:cs="宋体"/>
          <w:spacing w:val="14"/>
          <w:sz w:val="24"/>
          <w:szCs w:val="24"/>
          <w:lang w:val="en-US" w:eastAsia="zh-CN"/>
        </w:rPr>
        <w:t xml:space="preserve"> </w:t>
      </w:r>
      <w:r>
        <w:rPr>
          <w:rFonts w:hint="eastAsia" w:ascii="宋体" w:hAnsi="宋体" w:eastAsia="宋体" w:cs="宋体"/>
          <w:spacing w:val="14"/>
          <w:sz w:val="24"/>
          <w:szCs w:val="24"/>
        </w:rPr>
        <w:t>样品的报送与封存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需要承包人报送样品的材料或工程设备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样品的种类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名称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规格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数量等要求均应在专用合同条款中约定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样品的报送程序如下：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（1）承包人应在计划采购前28天向监理人报送样品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承包人报送的样品均应来自供应材料的实际生产地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且提供的样品的规格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数量足以表明材料或工程设备的质量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型号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颜色</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表面处理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质地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误差和其他要求的特征</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（2）承包人每次报送样品时应随附申报单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申报单应载明报送样品的相关数据和资料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并标明每件样品对应的图纸号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预留监理人批复意见栏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监理人应在收到承包人报送的样品后7天向承包人回复经发包人签认的样品审批意见</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（3）经发包人和监理人审批确认的样品应按约定的方法封样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封存的样品作为检验工程相关部分的标准之一</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承包人在施工过程中不得使用与样品不符的材料或工程设备</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（4）发包人和监理人对样品的审批确认仅为确认相关材料或工程设备的特征或用途</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不得被理解为对合同的修改或改变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也并不减轻或免除承包人任何的责任和义务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如果封存的样品修改或改变了合同约定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合同当事人应当以书面协议予以确认</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8.6.2 样品的保管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经批准的样品应由监理人负责封存于现场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承包人应在现场为保存样品提供适当和固定的场所并保持适当和良好的存储环境条件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64" w:name="_Toc7051"/>
      <w:bookmarkStart w:id="165" w:name="_Toc13033"/>
      <w:r>
        <w:rPr>
          <w:rFonts w:hint="eastAsia" w:ascii="宋体" w:hAnsi="宋体" w:eastAsia="宋体" w:cs="宋体"/>
          <w:spacing w:val="14"/>
          <w:sz w:val="24"/>
          <w:szCs w:val="24"/>
        </w:rPr>
        <w:t>8.7材料与工程设备的替代</w:t>
      </w:r>
      <w:bookmarkEnd w:id="164"/>
      <w:bookmarkEnd w:id="16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8.7.1 出现下列情况需要使用替代材料和工程设备的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承包人应按照第8.7.2项约定的程序执行：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（1）基准日期后生效的法律规定禁止使用的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（2）发包人要求使用替代品的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（3）因其他原因必须使用替代品的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8.7.2 承包人应在使用替代材料和工程设备28天前书面通知监理人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并附下列文件：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（1）被替代的材料和工程设备的名称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数量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规格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型号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品牌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性能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价格及其他相关资料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（2）替代品的名称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数量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规格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型号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品牌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性能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价格及其他相关资料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（3）替代品与被替代产品之间的差异以及使用替代品可能对工程产生的影响</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（4）替代品与被替代产品的价格差异</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（5）使用替代品的理由和原因说明</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（6）监理人要求的其他文件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监理人应在收到通知后14天内向承包人发出经发包人签认的书面指示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监理人逾期发出书面指示的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视为发包人和监理人同意使用替代品</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8.7.3 发包人认可使用替代材料和工程设备的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替代材料和工程设备的价格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按照已标价工程量清单或预算书相同项目的价格认定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无相同项目的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参考相似项目价格认定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既无相同项目也无相似项目的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按照合理的成本与利润构成的原则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由合同当事人按照第4.4款〔商定或确定〕确定价格</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66" w:name="_Toc5833"/>
      <w:bookmarkStart w:id="167" w:name="_Toc24830"/>
      <w:r>
        <w:rPr>
          <w:rFonts w:hint="eastAsia" w:ascii="宋体" w:hAnsi="宋体" w:eastAsia="宋体" w:cs="宋体"/>
          <w:spacing w:val="14"/>
          <w:sz w:val="24"/>
          <w:szCs w:val="24"/>
        </w:rPr>
        <w:t>8.8施工设备和临时设施</w:t>
      </w:r>
      <w:bookmarkEnd w:id="166"/>
      <w:bookmarkEnd w:id="16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8.8.1 承包人提供的施工设备和临时设施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承包人应按合同进度计划的要求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及时配置施工设备和修建临时设施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进入施工场地的承包人设备需经监理人核查后才能投入使用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承包人更换合同约定的承包人设备的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应报监理人批准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承包人应自行承担修建临时设施的费用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需要临时占地的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应由发包人办理申请手续并承担相应费用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8.8.2发包人提供的施工设备和临时设施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发包人提供的施工设备或临时设施在专用合同条款中约定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8.8.3要求承包人增加或更换施工设备</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承包人使用的施工设备不能满足合同进度计划和（或）质量要求时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监理人有权要求承包人增加或更换施工设备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承包人应及时增加或更换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68" w:name="_Toc32177"/>
      <w:bookmarkStart w:id="169" w:name="_Toc32099"/>
      <w:r>
        <w:rPr>
          <w:rFonts w:hint="eastAsia" w:ascii="宋体" w:hAnsi="宋体" w:eastAsia="宋体" w:cs="宋体"/>
          <w:spacing w:val="14"/>
          <w:sz w:val="24"/>
          <w:szCs w:val="24"/>
        </w:rPr>
        <w:t>8.9材料与设备专用要求</w:t>
      </w:r>
      <w:bookmarkEnd w:id="168"/>
      <w:bookmarkEnd w:id="16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承包人运入施工现场的材料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施工设备以及在施工场地建设的临时设施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包括备品备件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安装工具与资料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必须专用于工程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未经发包人批准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承包人不得运出施工现场或挪作他用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经发包人批准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承包人可以根据施工进度计划撤走闲置的施工设备和其他物品</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170" w:name="_Toc7014"/>
      <w:bookmarkStart w:id="171" w:name="_Toc30033"/>
      <w:r>
        <w:rPr>
          <w:rFonts w:hint="eastAsia" w:ascii="宋体" w:hAnsi="宋体" w:eastAsia="宋体" w:cs="宋体"/>
          <w:spacing w:val="14"/>
          <w:sz w:val="24"/>
          <w:szCs w:val="24"/>
        </w:rPr>
        <w:t>9. 试验与检验</w:t>
      </w:r>
      <w:bookmarkEnd w:id="170"/>
      <w:bookmarkEnd w:id="17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72" w:name="_Toc7579"/>
      <w:bookmarkStart w:id="173" w:name="_Toc31610"/>
      <w:r>
        <w:rPr>
          <w:rFonts w:hint="eastAsia" w:ascii="宋体" w:hAnsi="宋体" w:eastAsia="宋体" w:cs="宋体"/>
          <w:spacing w:val="14"/>
          <w:sz w:val="24"/>
          <w:szCs w:val="24"/>
        </w:rPr>
        <w:t>9.1试验设备与试验人员</w:t>
      </w:r>
      <w:bookmarkEnd w:id="172"/>
      <w:bookmarkEnd w:id="17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9.1.1 承包人根据合同约定或监理人指示进行的现场材料试验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应由承包人提供试验场所</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试验人员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试验设备以及其他必要的试验条件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监理人在必要时可以使用承包人提供的试验场所</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试验设备以及其他试验条件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进行以工程质量检查为目的的材料复核试验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承包人应予以协助</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9.1.2 承包人应按专用合同条款的约定提供试验设备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取样装置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试验场所和试验条件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并向监理人提交相应进场计划表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承包人配置的试验设备要符合相应试验规程的要求并经过具有资质的检测单位检测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且在正式使用该试验设备前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需要经过监理人与承包人共同校定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9.1.3 承包人应向监理人提交试验人员的名单及其岗位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资格等证明资料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试验人员必须能够熟练进行相应的检测试验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承包人对试验人员的试验程序和试验结果的正确性负责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74" w:name="_Toc31407"/>
      <w:bookmarkStart w:id="175" w:name="_Toc12758"/>
      <w:r>
        <w:rPr>
          <w:rFonts w:hint="eastAsia" w:ascii="宋体" w:hAnsi="宋体" w:eastAsia="宋体" w:cs="宋体"/>
          <w:spacing w:val="14"/>
          <w:sz w:val="24"/>
          <w:szCs w:val="24"/>
        </w:rPr>
        <w:t>9.2取样</w:t>
      </w:r>
      <w:bookmarkEnd w:id="174"/>
      <w:bookmarkEnd w:id="17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试验属于自检性质的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承包人可以单独取样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试验属于监理人抽检性质的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可由监理人取样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也可由承包人的试验人员在监理人的监督下取样</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76" w:name="_Toc15395"/>
      <w:bookmarkStart w:id="177" w:name="_Toc5964"/>
      <w:r>
        <w:rPr>
          <w:rFonts w:hint="eastAsia" w:ascii="宋体" w:hAnsi="宋体" w:eastAsia="宋体" w:cs="宋体"/>
          <w:spacing w:val="14"/>
          <w:sz w:val="24"/>
          <w:szCs w:val="24"/>
        </w:rPr>
        <w:t>9.3材料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工程设备和工程的试验和检验</w:t>
      </w:r>
      <w:bookmarkEnd w:id="176"/>
      <w:bookmarkEnd w:id="17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9.3.1承包人应按合同约定进行材料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工程设备和工程的试验和检验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并为监理人对上述材料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工程设备和工程的质量检查提供必要的试验资料和原始记录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按合同约定应由监理人与承包人共同进行试验和检验的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由承包人负责提供必要的试验资料和原始记录</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9.3.2试验属于自检性质的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承包人可以单独进行试验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试验属于监理人抽检性质的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监理人可以单独进行试验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也可由承包人与监理人共同进行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承包人对由监理人单独进行的试验结果有异议的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可以申请重新共同进行试验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约定共同进行试验的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监理人未按照约定参加试验的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承包人可自行试验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并将试验结果报送监理人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监理人应承认该试验结果</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9.3.3监理人对承包人的试验和检验结果有异议的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或为查清承包人试验和检验成果的可靠性要求承包人重新试验和检验的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可由监理人与承包人共同进行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重新试验和检验的结果证明该项材料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工程设备或工程的质量不符合合同要求的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重新试验和检验结果证明该项材料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工程设备和工程符合合同要求的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由此增加的费用和（或）延误的工期由发包人承担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78" w:name="_Toc16779"/>
      <w:bookmarkStart w:id="179" w:name="_Toc17622"/>
      <w:r>
        <w:rPr>
          <w:rFonts w:hint="eastAsia" w:ascii="宋体" w:hAnsi="宋体" w:eastAsia="宋体" w:cs="宋体"/>
          <w:spacing w:val="14"/>
          <w:sz w:val="24"/>
          <w:szCs w:val="24"/>
        </w:rPr>
        <w:t>9.4现场工艺试验</w:t>
      </w:r>
      <w:bookmarkEnd w:id="178"/>
      <w:bookmarkEnd w:id="17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承包人应按合同约定或监理人指示进行现场工艺试验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对大型的现场工艺试验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监理人认为必要时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承包人应根据监理人提出的工艺试验要求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编制工艺试验措施计划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报送监理人审查</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180" w:name="_Toc5451"/>
      <w:bookmarkStart w:id="181" w:name="_Toc32535"/>
      <w:r>
        <w:rPr>
          <w:rFonts w:hint="eastAsia" w:ascii="宋体" w:hAnsi="宋体" w:eastAsia="宋体" w:cs="宋体"/>
          <w:spacing w:val="14"/>
          <w:sz w:val="24"/>
          <w:szCs w:val="24"/>
        </w:rPr>
        <w:t>10. 变更</w:t>
      </w:r>
      <w:bookmarkEnd w:id="180"/>
      <w:bookmarkEnd w:id="18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82" w:name="_Toc12068"/>
      <w:bookmarkStart w:id="183" w:name="_Toc27929"/>
      <w:r>
        <w:rPr>
          <w:rFonts w:hint="eastAsia" w:ascii="宋体" w:hAnsi="宋体" w:eastAsia="宋体" w:cs="宋体"/>
          <w:spacing w:val="14"/>
          <w:sz w:val="24"/>
          <w:szCs w:val="24"/>
        </w:rPr>
        <w:t>10.1变更的范围</w:t>
      </w:r>
      <w:bookmarkEnd w:id="182"/>
      <w:bookmarkEnd w:id="18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合同履行过程中发生以下情形的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应按照本条约定进行变更：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（1）增加或减少合同中任何工作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或追加额外的工作</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（2）取消合同中任何工作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但转由他人实施的工作除外</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（3）改变合同中任何工作的质量标准或其他特性</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（4）改变工程的基线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标高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位置和尺寸</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（5）改变工程的时间安排或实施顺序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84" w:name="_Toc16208"/>
      <w:bookmarkStart w:id="185" w:name="_Toc15521"/>
      <w:r>
        <w:rPr>
          <w:rFonts w:hint="eastAsia" w:ascii="宋体" w:hAnsi="宋体" w:eastAsia="宋体" w:cs="宋体"/>
          <w:spacing w:val="14"/>
          <w:sz w:val="24"/>
          <w:szCs w:val="24"/>
        </w:rPr>
        <w:t>10.2变更权</w:t>
      </w:r>
      <w:bookmarkEnd w:id="184"/>
      <w:bookmarkEnd w:id="18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发包人和监理人均可以提出变更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变更指示均通过监理人发出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监理人发出变更指示前应征得发包人同意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承包人收到经发包人签认的变更指示后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方可实施变更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未经许可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承包人不得擅自对工程的任何部分进行变更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涉及设计变更的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应由设计人提供变更后的图纸和说明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如变更超过原设计标准或批准的建设规模时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发包人应及时办理规划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设计变更等审批手续</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86" w:name="_Toc870"/>
      <w:bookmarkStart w:id="187" w:name="_Toc19707"/>
      <w:r>
        <w:rPr>
          <w:rFonts w:hint="eastAsia" w:ascii="宋体" w:hAnsi="宋体" w:eastAsia="宋体" w:cs="宋体"/>
          <w:spacing w:val="14"/>
          <w:sz w:val="24"/>
          <w:szCs w:val="24"/>
        </w:rPr>
        <w:t>10.3变更程序</w:t>
      </w:r>
      <w:bookmarkEnd w:id="186"/>
      <w:bookmarkEnd w:id="18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10.3.1 发包人提出变更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发包人提出变更的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应通过监理人向承包人发出变更指示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变更指示应说明计划变更的工程范围和变更的内容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10.3.2 监理人提出变更建议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监理人提出变更建议的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需要向发包人以书面形式提出变更计划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说明计划变更工程范围和变更的内容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理由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以及实施该变更对合同价格和工期的影响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发包人同意变更的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由监理人向承包人发出变更指示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发包人不同意变更的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监理人无权擅自发出变更指示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10.3.3 变更执行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承包人收到监理人下达的变更指示后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认为不能执行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应立即提出不能执行该变更指示的理由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承包人认为可以执行变更的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应当书面说明实施该变更指示对合同价格和工期的影响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且合同当事人应当按照第10.4款〔变更估价〕约定确定变更估价</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88" w:name="_Toc6313"/>
      <w:bookmarkStart w:id="189" w:name="_Toc21413"/>
      <w:r>
        <w:rPr>
          <w:rFonts w:hint="eastAsia" w:ascii="宋体" w:hAnsi="宋体" w:eastAsia="宋体" w:cs="宋体"/>
          <w:spacing w:val="14"/>
          <w:sz w:val="24"/>
          <w:szCs w:val="24"/>
        </w:rPr>
        <w:t>10.4变更估价</w:t>
      </w:r>
      <w:bookmarkEnd w:id="188"/>
      <w:bookmarkEnd w:id="18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10.4.1 变更估价原则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变更估价按照本款约定处理：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（1）已标价工程量清单或预算书有相同项目的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按照相同项目单价认定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（2）已标价工程量清单或预算书中无相同项目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但有类似项目的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参照类似项目的单价认定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（3）变更导致实际完成的变更工程量与已标价工程量清单或预算书中列明的该项目工程量的变化幅度超过15%的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或已标价工程量清单或预算书中无相同项目及类似项目单价的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按照合理的成本与利润构成的原则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由合同当事人按照第4.4款〔商定或确定〕确定变更工作的单价</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10.4.2 变更估价程序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承包人应在收到变更指示后14天内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向监理人提交变更估价申请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监理人应在收到承包人提交的变更估价申请后7天内审查完毕并报送发包人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监理人对变更估价申请有异议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通知承包人修改后重新提交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发包人应在承包人提交变更估价申请后14天内审批完毕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发包人逾期未完成审批或未提出异议的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视为认可承包人提交的变更估价申请</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因变更引起的价格调整应计入最近一期的进度款中支付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90" w:name="_Toc12785"/>
      <w:bookmarkStart w:id="191" w:name="_Toc16190"/>
      <w:r>
        <w:rPr>
          <w:rFonts w:hint="eastAsia" w:ascii="宋体" w:hAnsi="宋体" w:eastAsia="宋体" w:cs="宋体"/>
          <w:spacing w:val="14"/>
          <w:sz w:val="24"/>
          <w:szCs w:val="24"/>
        </w:rPr>
        <w:t>10.5承包人的合理化建议</w:t>
      </w:r>
      <w:bookmarkEnd w:id="190"/>
      <w:bookmarkEnd w:id="19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承包人提出合理化建议的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应向监理人提交合理化建议说明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说明建议的内容和理由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以及实施该建议对合同价格和工期的影响</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监理人应在收到承包人提交的合理化建议后7天内审查完毕并报送发包人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发现其中存在技术上的缺陷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应通知承包人修改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发包人应在收到监理人报送的合理化建议后7天内审批完毕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合理化建议经发包人批准的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监理人应及时发出变更指示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由此引起的合同价格调整按照第10.4款〔变更估价〕约定执行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发包人不同意变更的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监理人应书面通知承包人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合理化建议降低了合同价格或者提高了工程经济效益的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发包人可对承包人给予奖励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奖励的方法和金额在专用合同条款中约定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92" w:name="_Toc14229"/>
      <w:bookmarkStart w:id="193" w:name="_Toc13282"/>
      <w:r>
        <w:rPr>
          <w:rFonts w:hint="eastAsia" w:ascii="宋体" w:hAnsi="宋体" w:eastAsia="宋体" w:cs="宋体"/>
          <w:spacing w:val="14"/>
          <w:sz w:val="24"/>
          <w:szCs w:val="24"/>
        </w:rPr>
        <w:t>10.6变更引起的工期调整</w:t>
      </w:r>
      <w:bookmarkEnd w:id="192"/>
      <w:bookmarkEnd w:id="19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因变更引起工期变化的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合同当事人均可要求调整合同工期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由合同当事人按照第4.4款〔商定或确定〕并参考工程所在地的工期定额标准确定增减工期天数</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94" w:name="_Toc27838"/>
      <w:bookmarkStart w:id="195" w:name="_Toc15490"/>
      <w:r>
        <w:rPr>
          <w:rFonts w:hint="eastAsia" w:ascii="宋体" w:hAnsi="宋体" w:eastAsia="宋体" w:cs="宋体"/>
          <w:spacing w:val="14"/>
          <w:sz w:val="24"/>
          <w:szCs w:val="24"/>
        </w:rPr>
        <w:t>10.7暂估价</w:t>
      </w:r>
      <w:bookmarkEnd w:id="194"/>
      <w:bookmarkEnd w:id="19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暂估价专业分包工程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服务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材料和工程设备的明细由合同当事人在专用合同条款中约定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10.7.1 依法必须招标的暂估价项目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对于依法必须招标的暂估价项目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采取以下第1种方式确定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合同当事人也可以在专用合同条款中选择其他招标方式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第1种方式：对于依法必须招标的暂估价项目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由承包人招标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对该暂估价项目的确认和批准按照以下约定执行：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（1）承包人应当根据施工进度计划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在招标工作启动前14天将招标方案通过监理人报送发包人审查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发包人应当在收到承包人报送的招标方案后7天内批准或提出修改意见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承包人应当按照经过发包人批准的招标方案开展招标工作</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（2）承包人应当根据施工进度计划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提前14天将招标文件通过监理人报送发包人审批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发包人应当在收到承包人报送的相关文件后7天内完成审批或提出修改意见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发包人有权确定招标控制价并按照法律规定参加评标</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（3）承包人与供应商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分包人在签订暂估价合同前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应当提前7天将确定的中标候选供应商或中标候选分包人的资料报送发包人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发包人应在收到资料后3天内与承包人共同确定中标人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承包人应当在签订合同后7天内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将暂估价合同副本报送发包人留存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第2种方式：对于依法必须招标的暂估价项目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由发包人和承包人共同招标确定暂估价供应商或分包人的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承包人应按照施工进度计划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在招标工作启动前14天通知发包人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并提交暂估价招标方案和工作分工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发包人应在收到后7天内确认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确定中标人后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承包人与中标人共同签订暂估价合同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10.7.2不属于依法必须招标的暂估价项目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对于不属于依法必须招标的暂估价项目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采取以下第1种方式确定：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第1种方式：对于不属于依法必须招标的暂估价项目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按本项约定确认和批准：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（1）承包人应根据施工进度计划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在签订暂估价项目的采购合同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分包合同前28天向监理人提出书面申请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监理人应当在收到申请后3天内报送发包人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发包人应当在收到申请后14天内给予批准或提出修改意见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发包人逾期未予批准或提出修改意见的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视为该书面申请已获得同意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（2）发包人认为承包人确定的供应商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分包人无法满足工程质量或合同要求的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发包人可以要求承包人重新确定暂估价项目的供应商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分包人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（3）承包人应当在签订暂估价合同后7天内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将暂估价合同副本报送发包人留存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第2种方式：承包人按照第10.7.1项〔依法必须招标的暂估价项目〕约定的第1种方式确定暂估价项目</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第3种方式：承包人直接实施的暂估价项目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承包人具备实施暂估价项目的资格和条件的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经发包人和承包人协商一致后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可由承包人自行实施暂估价项目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合同当事人可以在专用合同条款约定具体事项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10.7.3 因发包人原因导致暂估价合同订立和履行迟延的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由此增加的费用和（或）延误的工期由发包人承担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并支付承包人合理的利润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因承包人原因导致暂估价合同订立和履行迟延的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96" w:name="_Toc2171"/>
      <w:bookmarkStart w:id="197" w:name="_Toc2919"/>
      <w:r>
        <w:rPr>
          <w:rFonts w:hint="eastAsia" w:ascii="宋体" w:hAnsi="宋体" w:eastAsia="宋体" w:cs="宋体"/>
          <w:spacing w:val="14"/>
          <w:sz w:val="24"/>
          <w:szCs w:val="24"/>
        </w:rPr>
        <w:t>10.8暂列金额</w:t>
      </w:r>
      <w:bookmarkEnd w:id="196"/>
      <w:bookmarkEnd w:id="19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暂列金额应按照发包人的要求使用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发包人的要求应通过监理人发出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合同当事人可以在专用合同条款中协商确定有关事项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98" w:name="_Toc27375"/>
      <w:bookmarkStart w:id="199" w:name="_Toc32629"/>
      <w:r>
        <w:rPr>
          <w:rFonts w:hint="eastAsia" w:ascii="宋体" w:hAnsi="宋体" w:eastAsia="宋体" w:cs="宋体"/>
          <w:spacing w:val="14"/>
          <w:sz w:val="24"/>
          <w:szCs w:val="24"/>
        </w:rPr>
        <w:t>10.9计日工</w:t>
      </w:r>
      <w:bookmarkEnd w:id="198"/>
      <w:bookmarkEnd w:id="19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需要采用计日工方式的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经发包人同意后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由监理人通知承包人以计日工计价方式实施相应的工作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其价款按列入已标价工程量清单或预算书中的计日工计价项目及其单价进行计算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已标价工程量清单或预算书中无相应的计日工单价的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按照合理的成本与利润构成的原则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由合同当事人按照第4.4款〔商定或确定〕确定计日工的单价</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采用计日工计价的任何一项工作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承包人应在该项工作实施过程中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每天提交以下报表和有关凭证报送监理人审查：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（1）工作名称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内容和数量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（2）投入该工作的所有人员的姓名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专业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级别和耗用工时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（3）投入该工作的材料类别和数量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（4）投入该工作的施工设备型号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台数和耗用台时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（5）其他有关资料和凭证</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计日工由承包人汇总后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列入最近一期进度付款申请单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由监理人审查并经发包人批准后列入进度付款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00" w:name="_Toc30721"/>
      <w:bookmarkStart w:id="201" w:name="_Toc9348"/>
      <w:r>
        <w:rPr>
          <w:rFonts w:hint="eastAsia" w:ascii="宋体" w:hAnsi="宋体" w:eastAsia="宋体" w:cs="宋体"/>
          <w:spacing w:val="14"/>
          <w:sz w:val="24"/>
          <w:szCs w:val="24"/>
        </w:rPr>
        <w:t>11. 价格调整</w:t>
      </w:r>
      <w:bookmarkEnd w:id="200"/>
      <w:bookmarkEnd w:id="20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02" w:name="_Toc29500"/>
      <w:bookmarkStart w:id="203" w:name="_Toc1877"/>
      <w:r>
        <w:rPr>
          <w:rFonts w:hint="eastAsia" w:ascii="宋体" w:hAnsi="宋体" w:eastAsia="宋体" w:cs="宋体"/>
          <w:spacing w:val="14"/>
          <w:sz w:val="24"/>
          <w:szCs w:val="24"/>
        </w:rPr>
        <w:t>11.1市场价格波动引起的调整</w:t>
      </w:r>
      <w:bookmarkEnd w:id="202"/>
      <w:bookmarkEnd w:id="20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市场价格波动超过合同当事人约定的范围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合同价格应当调整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合同当事人可以在专用合同条款中约定选择以下一种方式对合同价格进行调整：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第1种方式：采用价格指数进行价格调整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（1）价格调整公式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因人工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材料和设备等价格波动影响合同价格时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根据专用合同条款中约定的数据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按以下公式计算差额并调整合同价格：</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cs="宋体"/>
          <w:sz w:val="24"/>
        </w:rPr>
        <w:object>
          <v:shape id="_x0000_i1025" o:spt="75" type="#_x0000_t75" style="height:37.25pt;width:255.65pt;" o:ole="t" filled="f" o:preferrelative="t" stroked="f" coordsize="21600,21600">
            <v:path/>
            <v:fill on="f" focussize="0,0"/>
            <v:stroke on="f" weight="3pt"/>
            <v:imagedata r:id="rId20" o:title=""/>
            <o:lock v:ext="edit" aspectratio="t"/>
            <w10:wrap type="none"/>
            <w10:anchorlock/>
          </v:shape>
          <o:OLEObject Type="Embed" ProgID="Equation.KSEE3" ShapeID="_x0000_i1025" DrawAspect="Content" ObjectID="_1468075725" r:id="rId19">
            <o:LockedField>false</o:LockedField>
          </o:OLEObject>
        </w:objec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公式中：</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1)△P——需调整的价格差额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2)Po——中期支付证书中承包人应得到的已完成工程量的金额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此项金额应不包括价格调整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不计质量保证金的扣留与支付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开工预付款的支付与扣回</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约定的工程变更及其他金额已按现行价格计价的也不计在内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3)A——定值权重（即不调部分的权重）</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4)B1</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 xml:space="preserve"> B2 </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B3……Bn——各可调因子的变值权重（即可调部分的权重）为各可调因子在投标函投标总报价中所占的比例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5)Ft1</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Ft2</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Ft3……Ftn ——各可调因子的现行价格指数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由发承包双方在合同中约定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一般为进度款支付前28天的各可调因子的价格指数</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Fo1</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Fo2</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Fo3……Fon——各可调因子的基本价格指数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指基准日期的各可调因子的价格指数</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以上价格调整公式中的各可调因子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定值和变值权重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以及基本价格指数及其来源在投标函附录价格指数和权重表中约定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非招标订立的合同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由合同当事人在专用合同条款中约定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价格指数应首先采用工程造价管理机构发布的价格指数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无前述价格指数时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可采用工程造价管理机构发布的价格代替</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（2）暂时确定调整差额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在计算调整差额时无现行价格指数的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合同当事人同意暂用前次价格指数计算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实际价格指数有调整的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合同当事人进行相应调整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（3）权重的调整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因变更导致合同约定的权重不合理时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按照第4.4款〔商定或确定〕执行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（4）因承包人原因工期延误后的价格调整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因承包人原因未按期竣工的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对合同约定的竣工日期后继续施工的工程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在使用价格调整公式时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应采用计划竣工日期与实际竣工日期的两个价格指数中较低的一个作为现行价格指数</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第2种方式：采用造价信息进行价格调整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合同履行期间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因人工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工程设备和机械台班价格波动影响合同价格时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人工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机械使用费按照国家或省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自治区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直辖市建设行政管理部门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行业建设管理部门或其授权的工程造价管理机构发布的人工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机械使用费系数进行调整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需要进行价格调整的材料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其单价和采购数量应由发包人审批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发包人确认需调整的材料单价及数量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作为调整合同价格的依据</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（1）人工单价发生变化且符合省级或行业建设主管部门发布的人工费调整规定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合同当事人应按省级或行业建设主管部门或其授权的工程造价管理机构发布的人工费等文件调整合同价格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但承包人对人工费或人工单价的报价高于发布价格的除外</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工程设备价格变化的价款调整按照发包人提供的基准价格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按以下风险范围规定执行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①承包人在已标价工程量清单或预算书中载明材料单价低于基准价格的：除专用合同条款另有约定外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合同履行期间材料单价涨幅以基准价格为基础超过5%时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或材料单价跌幅以在已标价工程量清单或预算书中载明材料单价为基础超过5%时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其超过部分据实调整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②承包人在已标价工程量清单或预算书中载明材料单价高于基准价格的：除专用合同条款另有约定外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合同履行期间材料单价跌幅以基准价格为基础超过5%时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材料单价涨幅以在已标价工程量清单或预算书中载明材料单价为基础超过5%时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其超过部分据实调整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③承包人在已标价工程量清单或预算书中载明材料单价等于基准价格的：除专用合同条款另有约定外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合同履行期间材料单价涨跌幅以基准价格为基础超过±5%时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其超过部分据实调整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④承包人应在采购材料前将采购数量和新的材料单价报发包人核对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发包人确认用于工程时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发包人应确认采购材料的数量和单价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发包人在收到承包人报送的确认资料后5天内不予答复的视为认可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作为调整合同价格的依据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未经发包人事先核对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承包人自行采购材料的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发包人有权不予调整合同价格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发包人同意的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可以调整合同价格</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前述基准价格是指由发包人在招标文件或专用合同条款中给定的材料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工程设备的价格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该价格原则上应当按照省级或行业建设主管部门或其授权的工程造价管理机构发布的信息价编制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（3）施工机械台班单价或施工机械使用费发生变化超过省级或行业建设主管部门或其授权的工程造价管理机构规定的范围时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按规定调整合同价格</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第3种方式：专用合同条款约定的其他方式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04" w:name="_Toc22806"/>
      <w:bookmarkStart w:id="205" w:name="_Toc27114"/>
      <w:r>
        <w:rPr>
          <w:rFonts w:hint="eastAsia" w:ascii="宋体" w:hAnsi="宋体" w:eastAsia="宋体" w:cs="宋体"/>
          <w:spacing w:val="14"/>
          <w:sz w:val="24"/>
          <w:szCs w:val="24"/>
        </w:rPr>
        <w:t>11.2法律变化引起的调整</w:t>
      </w:r>
      <w:bookmarkEnd w:id="204"/>
      <w:bookmarkEnd w:id="20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基准日期后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法律变化导致承包人在合同履行过程中所需要的费用发生除第11.1款〔市场价格波动引起的调整〕约定以外的增加时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由发包人承担由此增加的费用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减少时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应从合同价格中予以扣减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基准日期后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因法律变化造成工期延误时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工期应予以顺延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因法律变化引起的合同价格和工期调整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合同当事人无法达成一致的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由总监理工程师按第4.4款〔商定或确定〕的约定处理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因承包人原因造成工期延误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在工期延误期间出现法律变化的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06" w:name="_Toc25764"/>
      <w:bookmarkStart w:id="207" w:name="_Toc7602"/>
      <w:r>
        <w:rPr>
          <w:rFonts w:hint="eastAsia" w:ascii="宋体" w:hAnsi="宋体" w:eastAsia="宋体" w:cs="宋体"/>
          <w:spacing w:val="14"/>
          <w:sz w:val="24"/>
          <w:szCs w:val="24"/>
        </w:rPr>
        <w:t>12. 合同价格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计量与支付</w:t>
      </w:r>
      <w:bookmarkEnd w:id="206"/>
      <w:bookmarkEnd w:id="20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08" w:name="_Toc12599"/>
      <w:bookmarkStart w:id="209" w:name="_Toc2069"/>
      <w:r>
        <w:rPr>
          <w:rFonts w:hint="eastAsia" w:ascii="宋体" w:hAnsi="宋体" w:eastAsia="宋体" w:cs="宋体"/>
          <w:spacing w:val="14"/>
          <w:sz w:val="24"/>
          <w:szCs w:val="24"/>
        </w:rPr>
        <w:t>12.1 合同价格形式</w:t>
      </w:r>
      <w:bookmarkEnd w:id="208"/>
      <w:bookmarkEnd w:id="20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发包人和承包人应在合同协议书中选择下列一种合同价格形式：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10" w:name="_Toc4138"/>
      <w:bookmarkStart w:id="211" w:name="_Toc26805"/>
      <w:r>
        <w:rPr>
          <w:rFonts w:hint="eastAsia" w:ascii="宋体" w:hAnsi="宋体" w:eastAsia="宋体" w:cs="宋体"/>
          <w:spacing w:val="14"/>
          <w:sz w:val="24"/>
          <w:szCs w:val="24"/>
        </w:rPr>
        <w:t>1.单价合同</w:t>
      </w:r>
      <w:bookmarkEnd w:id="210"/>
      <w:bookmarkEnd w:id="21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单价合同是指合同当事人约定以工程量清单及其综合单价进行合同价格计算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调整和确认的建设工程施工合同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在约定的范围内合同单价不作调整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合同当事人应在专用合同条款中约定综合单价包含的风险范围和风险费用的计算方法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并约定风险范围以外的合同价格的调整方法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其中因市场价格波动引起的调整按第11.1款〔市场价格波动引起的调整〕约定执行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12" w:name="_Toc22753"/>
      <w:bookmarkStart w:id="213" w:name="_Toc27082"/>
      <w:r>
        <w:rPr>
          <w:rFonts w:hint="eastAsia" w:ascii="宋体" w:hAnsi="宋体" w:eastAsia="宋体" w:cs="宋体"/>
          <w:spacing w:val="14"/>
          <w:sz w:val="24"/>
          <w:szCs w:val="24"/>
        </w:rPr>
        <w:t>2.总价合同</w:t>
      </w:r>
      <w:bookmarkEnd w:id="212"/>
      <w:bookmarkEnd w:id="21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总价合同是指合同当事人约定以施工图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已标价工程量清单或预算书及有关条件进行合同价格计算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调整和确认的建设工程施工合同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在约定的范围内合同总价不作调整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合同当事人应在专用合同条款中约定总价包含的风险范围和风险费用的计算方法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并约定风险范围以外的合同价格的调整方法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其中因市场价格波动引起的调整按第11.1款〔市场价格波动引起的调整〕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因法律变化引起的调整按第11.2款〔法律变化引起的调整〕约定执行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14" w:name="_Toc12880"/>
      <w:bookmarkStart w:id="215" w:name="_Toc30664"/>
      <w:r>
        <w:rPr>
          <w:rFonts w:hint="eastAsia" w:ascii="宋体" w:hAnsi="宋体" w:eastAsia="宋体" w:cs="宋体"/>
          <w:spacing w:val="14"/>
          <w:sz w:val="24"/>
          <w:szCs w:val="24"/>
        </w:rPr>
        <w:t>3.</w:t>
      </w:r>
      <w:r>
        <w:rPr>
          <w:rFonts w:hint="eastAsia" w:ascii="宋体" w:hAnsi="宋体" w:eastAsia="宋体" w:cs="宋体"/>
          <w:spacing w:val="14"/>
          <w:sz w:val="24"/>
          <w:szCs w:val="24"/>
          <w:lang w:eastAsia="zh-CN"/>
        </w:rPr>
        <w:t>其他</w:t>
      </w:r>
      <w:r>
        <w:rPr>
          <w:rFonts w:hint="eastAsia" w:ascii="宋体" w:hAnsi="宋体" w:eastAsia="宋体" w:cs="宋体"/>
          <w:spacing w:val="14"/>
          <w:sz w:val="24"/>
          <w:szCs w:val="24"/>
        </w:rPr>
        <w:t>价格形式</w:t>
      </w:r>
      <w:bookmarkEnd w:id="214"/>
      <w:bookmarkEnd w:id="21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合同当事人可在专用合同条款中约定其他合同价格形式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16" w:name="_Toc7195"/>
      <w:bookmarkStart w:id="217" w:name="_Toc28187"/>
      <w:r>
        <w:rPr>
          <w:rFonts w:hint="eastAsia" w:ascii="宋体" w:hAnsi="宋体" w:eastAsia="宋体" w:cs="宋体"/>
          <w:spacing w:val="14"/>
          <w:sz w:val="24"/>
          <w:szCs w:val="24"/>
        </w:rPr>
        <w:t>12.2预付款</w:t>
      </w:r>
      <w:bookmarkEnd w:id="216"/>
      <w:bookmarkEnd w:id="21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12.2.1预付款的支付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预付款的支付按照专用合同条款约定执行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但至迟应在开工通知载明的开工日期7天前支付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预付款应当用于材料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施工设备的采购及修建临时工程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组织施工队伍进场等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预付款在进度付款中同比例扣回</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在颁发工程接收证书前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提前解除合同的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尚未扣完的预付款应与合同价款一并结算</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发包人逾期支付预付款超过7天的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承包人有权向发包人发出要求预付的催告通知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发包人收到通知后7天内仍未支付的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承包人有权暂停施工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并按第16.1.1项〔发包人违约的情形〕执行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12.2.2 预付款担保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发包人要求承包人提供预付款担保的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承包人应在发包人支付预付款7天前提供预付款担保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专用合同条款另有约定除外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预付款担保可采用银行保函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担保公司担保等形式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具体由合同当事人在专用合同条款中约定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在预付款完全扣回之前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承包人应保证预付款担保持续有效</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发包人在工程款中逐期扣回预付款后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预付款担保额度应相应减少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但剩余的预付款担保金额不得低于未被扣回的预付款金额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18" w:name="_Toc10106"/>
      <w:bookmarkStart w:id="219" w:name="_Toc20627"/>
      <w:r>
        <w:rPr>
          <w:rFonts w:hint="eastAsia" w:ascii="宋体" w:hAnsi="宋体" w:eastAsia="宋体" w:cs="宋体"/>
          <w:spacing w:val="14"/>
          <w:sz w:val="24"/>
          <w:szCs w:val="24"/>
        </w:rPr>
        <w:t>12.3计量</w:t>
      </w:r>
      <w:bookmarkEnd w:id="218"/>
      <w:bookmarkEnd w:id="21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12.3.1 计量原则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工程量计量按照合同约定的工程量计算规则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图纸及变更指示等进行计量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工程量计算规则应以相关的国家标准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行业标准等为依据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由合同当事人在专用合同条款中约定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12.3.2 计量周期</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工程量的计量按月进行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12.3.3 单价合同的计量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单价合同的计量按照本项约定执行：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（1）承包人应于每月25日向监理人报送上月20日至当月19日已完成的工程量报告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并附具进度付款申请单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已完成工程量报表和有关资料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（2）监理人应在收到承包人提交的工程量报告后7天内完成对承包人提交的工程量报表的审核并报送发包人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以确定当月实际完成的工程量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监理人对工程量有异议的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有权要求承包人进行共同复核或抽样复测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承包人应协助监理人进行复核或抽样复测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并按监理人要求提供补充计量资料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承包人未按监理人要求参加复核或抽样复测的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监理人复核或修正的工程量视为承包人实际完成的工程量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（3）监理人未在收到承包人提交的工程量报表后的7天内完成审核的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承包人报送的工程量报告中的工程量视为承包人实际完成的工程量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据此计算工程价款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12.3.4 总价合同的计量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按月</w:t>
      </w:r>
      <w:r>
        <w:rPr>
          <w:rFonts w:hint="eastAsia" w:ascii="宋体" w:hAnsi="宋体" w:eastAsia="宋体" w:cs="宋体"/>
          <w:spacing w:val="14"/>
          <w:sz w:val="24"/>
          <w:szCs w:val="24"/>
          <w:lang w:eastAsia="zh-CN"/>
        </w:rPr>
        <w:t>计量与支付</w:t>
      </w:r>
      <w:r>
        <w:rPr>
          <w:rFonts w:hint="eastAsia" w:ascii="宋体" w:hAnsi="宋体" w:eastAsia="宋体" w:cs="宋体"/>
          <w:spacing w:val="14"/>
          <w:sz w:val="24"/>
          <w:szCs w:val="24"/>
        </w:rPr>
        <w:t>的总价合同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按照本项约定执行：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（1）承包人应于每月25日向监理人报送上月20日至当月19日已完成的工程量报告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并附具进度付款申请单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已完成工程量报表和有关资料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（2）监理人应在收到承包人提交的工程量报告后7天内完成对承包人提交的工程量报表的审核并报送发包人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以确定当月实际完成的工程量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监理人对工程量有异议的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有权要求承包人进行共同复核或抽样复测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承包人应协助监理人进行复核或抽样复测并按监理人要求提供补充计量资料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承包人未按监理人要求参加复核或抽样复测的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监理人审核或修正的工程量视为承包人实际完成的工程量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（3）监理人未在收到承包人提交的工程量报表后的7天内完成复核的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承包人提交的工程量报告中的工程量视为承包人实际完成的工程量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12.3.5 总价合同采用支付分解表</w:t>
      </w:r>
      <w:r>
        <w:rPr>
          <w:rFonts w:hint="eastAsia" w:ascii="宋体" w:hAnsi="宋体" w:eastAsia="宋体" w:cs="宋体"/>
          <w:spacing w:val="14"/>
          <w:sz w:val="24"/>
          <w:szCs w:val="24"/>
          <w:lang w:eastAsia="zh-CN"/>
        </w:rPr>
        <w:t>计量与支付</w:t>
      </w:r>
      <w:r>
        <w:rPr>
          <w:rFonts w:hint="eastAsia" w:ascii="宋体" w:hAnsi="宋体" w:eastAsia="宋体" w:cs="宋体"/>
          <w:spacing w:val="14"/>
          <w:sz w:val="24"/>
          <w:szCs w:val="24"/>
        </w:rPr>
        <w:t>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可以按照第12.3.4项〔总价合同的计量〕约定进行计量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但合同价款按照支付分解表进行支付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12.3.6 其他价格形式合同的计量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合同当事人可在专用合同条款中约定其他价格形式合同的计量方式和程序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20" w:name="_Toc9677"/>
      <w:bookmarkStart w:id="221" w:name="_Toc27143"/>
      <w:r>
        <w:rPr>
          <w:rFonts w:hint="eastAsia" w:ascii="宋体" w:hAnsi="宋体" w:eastAsia="宋体" w:cs="宋体"/>
          <w:spacing w:val="14"/>
          <w:sz w:val="24"/>
          <w:szCs w:val="24"/>
        </w:rPr>
        <w:t>12.4工程进度款支付</w:t>
      </w:r>
      <w:bookmarkEnd w:id="220"/>
      <w:bookmarkEnd w:id="22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12.4.1 付款周期</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付款周期应按照第12.3.2项〔计量周期〕的约定与计量周期保持一致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12.4.2 进度付款申请单的编制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进度付款申请单应包括下列内容：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（1）截至本次付款周期已完成工作对应的金额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（2）根据第10条〔变更〕应增加和扣减的变更金额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（3）根据第12.2款〔预付款〕约定应支付的预付款和扣减的返还预付款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（4）根据第15.3款〔质量保证金〕约定应扣减的质量保证金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（5）根据第19条〔索赔〕应增加和扣减的索赔金额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（6）对已签发的进度款支付证书中出现错误的修正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应在本次进度付款中支付或扣除的金额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（7）根据合同约定应增加和扣减的其他金额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12.4.3 进度付款申请单的提交</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（1）单价合同进度付款申请单的提交</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单价合同的进度付款申请单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按照第12.3.3项〔单价合同的计量〕约定的时间按月向监理人提交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并附上已完成工程量报表和有关资料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单价合同中的总价项目按月进行支付分解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并汇总列入当期进度付款申请单</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（2）总价合同进度付款申请单的提交</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总价合同按月</w:t>
      </w:r>
      <w:r>
        <w:rPr>
          <w:rFonts w:hint="eastAsia" w:ascii="宋体" w:hAnsi="宋体" w:eastAsia="宋体" w:cs="宋体"/>
          <w:spacing w:val="14"/>
          <w:sz w:val="24"/>
          <w:szCs w:val="24"/>
          <w:lang w:eastAsia="zh-CN"/>
        </w:rPr>
        <w:t>计量与支付</w:t>
      </w:r>
      <w:r>
        <w:rPr>
          <w:rFonts w:hint="eastAsia" w:ascii="宋体" w:hAnsi="宋体" w:eastAsia="宋体" w:cs="宋体"/>
          <w:spacing w:val="14"/>
          <w:sz w:val="24"/>
          <w:szCs w:val="24"/>
        </w:rPr>
        <w:t>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承包人按照第12.3.4项〔总价合同的计量〕约定的时间按月向监理人提交进度付款申请单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并附上已完成工程量报表和有关资料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总价合同按支付分解表支付的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承包人应按照第12.4.6项〔支付分解表〕及第12.4.2项〔进度付款申请单的编制〕的约定向监理人提交进度付款申请单</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（3）其他价格形式合同的进度付款申请单的提交</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合同当事人可在专用合同条款中约定其他价格形式合同的进度付款申请单的编制和提交程序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12.4.4 进度款审核和支付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监理人应在收到承包人进度付款申请单以及相关资料后7天内完成审查并报送发包人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发包人应在收到后7天内完成审批并签发进度款支付证书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发包人逾期未完成审批且未提出异议的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视为已签发进度款支付证书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发包人和监理人对承包人的进度付款申请单有异议的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有权要求承包人修正和提供补充资料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承包人应提交修正后的进度付款申请单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监理人应在收到承包人修正后的进度付款申请单及相关资料后7天内完成审查并报送发包人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发包人应在收到监理人报送的进度付款申请单及相关资料后7天内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向承包人签发无异议部分的临时进度款支付证书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存在争议的部分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按照第20条〔争议解决〕的约定处理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发包人应在进度款支付证书或临时进度款支付证书签发后14天内完成支付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发包人逾期支付进度款的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应按照中国人民银行发布的同期同类贷款基准利率支付违约金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（3）发包人签发进度款支付证书或临时进度款支付证书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不表明发包人已同意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批准或接受了承包人完成的相应部分的工作</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12.4.5 进度付款的修正</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在对已签发的进度款支付证书进行阶段汇总和复核中发现错误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遗漏或重复的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发包人和承包人均有权提出修正申请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经发包人和承包人同意的修正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应在下期进度付款中支付或扣除</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12.4.6 支付分解表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22" w:name="_Toc19285"/>
      <w:bookmarkStart w:id="223" w:name="_Toc13736"/>
      <w:r>
        <w:rPr>
          <w:rFonts w:hint="eastAsia" w:ascii="宋体" w:hAnsi="宋体" w:eastAsia="宋体" w:cs="宋体"/>
          <w:spacing w:val="14"/>
          <w:sz w:val="24"/>
          <w:szCs w:val="24"/>
        </w:rPr>
        <w:t>1.支付分解表的编制要求</w:t>
      </w:r>
      <w:bookmarkEnd w:id="222"/>
      <w:bookmarkEnd w:id="22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（1）支付分解表中所列的每期付款金额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应为第12.4.2项〔进度付款申请单的编制〕第（1）目的估算金额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（2）实际进度与施工进度计划不一致的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合同当事人可按照第4.4款〔商定或确定〕修改支付分解表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（3）不采用支付分解表的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承包人应向发包人和监理人提交按季度编制的支付估算分解表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用于支付参考</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24" w:name="_Toc1841"/>
      <w:bookmarkStart w:id="225" w:name="_Toc26554"/>
      <w:r>
        <w:rPr>
          <w:rFonts w:hint="eastAsia" w:ascii="宋体" w:hAnsi="宋体" w:eastAsia="宋体" w:cs="宋体"/>
          <w:spacing w:val="14"/>
          <w:sz w:val="24"/>
          <w:szCs w:val="24"/>
        </w:rPr>
        <w:t>2.总价合同支付分解表的编制与审批</w:t>
      </w:r>
      <w:bookmarkEnd w:id="224"/>
      <w:bookmarkEnd w:id="22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承包人应根据第7.2款〔施工进度计划〕约定的施工进度计划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签约合同价和工程量等因素对总价合同按月进行分解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编制支付分解表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承包人应当在收到监理人和发包人批准的施工进度计划后7天内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将支付分解表及编制支付分解表的支持性资料报送监理人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（2）监理人应在收到支付分解表后7天内完成审核并报送发包人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发包人应在收到经监理人审核的支付分解表后7天内完成审批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经发包人批准的支付分解表为有约束力的支付分解表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（3）发包人逾期未完成支付分解表审批的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也未及时要求承包人进行修正和提供补充资料的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则承包人提交的支付分解表视为已经获得发包人批准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26" w:name="_Toc16446"/>
      <w:bookmarkStart w:id="227" w:name="_Toc24586"/>
      <w:r>
        <w:rPr>
          <w:rFonts w:hint="eastAsia" w:ascii="宋体" w:hAnsi="宋体" w:eastAsia="宋体" w:cs="宋体"/>
          <w:spacing w:val="14"/>
          <w:sz w:val="24"/>
          <w:szCs w:val="24"/>
        </w:rPr>
        <w:t>3.单价合同的总价项目支付分解表的编制与审批</w:t>
      </w:r>
      <w:bookmarkEnd w:id="226"/>
      <w:bookmarkEnd w:id="22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单价合同的总价项目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由承包人根据施工进度计划和总价项目的总价构成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费用性质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计划发生时间和相应工程量等因素按月进行分解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形成支付分解表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其编制与审批参照总价合同支付分解表的编制与审批执行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28" w:name="_Toc9042"/>
      <w:bookmarkStart w:id="229" w:name="_Toc14666"/>
      <w:r>
        <w:rPr>
          <w:rFonts w:hint="eastAsia" w:ascii="宋体" w:hAnsi="宋体" w:eastAsia="宋体" w:cs="宋体"/>
          <w:spacing w:val="14"/>
          <w:sz w:val="24"/>
          <w:szCs w:val="24"/>
        </w:rPr>
        <w:t>12.5支付账户</w:t>
      </w:r>
      <w:bookmarkEnd w:id="228"/>
      <w:bookmarkEnd w:id="22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发包人应将合同价款支付至合同协议书中约定的承包人账户</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30" w:name="_Toc6654"/>
      <w:bookmarkStart w:id="231" w:name="_Toc22210"/>
      <w:r>
        <w:rPr>
          <w:rFonts w:hint="eastAsia" w:ascii="宋体" w:hAnsi="宋体" w:eastAsia="宋体" w:cs="宋体"/>
          <w:spacing w:val="14"/>
          <w:sz w:val="24"/>
          <w:szCs w:val="24"/>
        </w:rPr>
        <w:t>13. 验收和工程试车</w:t>
      </w:r>
      <w:bookmarkEnd w:id="230"/>
      <w:bookmarkEnd w:id="23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32" w:name="_Toc32456"/>
      <w:bookmarkStart w:id="233" w:name="_Toc11024"/>
      <w:r>
        <w:rPr>
          <w:rFonts w:hint="eastAsia" w:ascii="宋体" w:hAnsi="宋体" w:eastAsia="宋体" w:cs="宋体"/>
          <w:spacing w:val="14"/>
          <w:sz w:val="24"/>
          <w:szCs w:val="24"/>
        </w:rPr>
        <w:t>13.1分部分项工程验收</w:t>
      </w:r>
      <w:bookmarkEnd w:id="232"/>
      <w:bookmarkEnd w:id="23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13.1.1 分部分项工程质量应符合国家有关工程施工验收规范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标准及合同约定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承包人应按照施工组织设计的要求完成分部分项工程施工</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13.1.2 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分部分项工程经承包人自检合格并具备验收条件的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承包人应提前48小时通知监理人进行验收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监理人不能按时进行验收的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应在验收前24小时向承包人提交书面延期要求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但延期不能超过48小时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监理人未按时进行验收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也未提出延期要求的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承包人有权自行验收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监理人应认可验收结果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分部分项工程未经验收的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不得进入下一道工序施工</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分部分项工程的验收资料应当作为竣工资料的组成部分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34" w:name="_Toc20774"/>
      <w:bookmarkStart w:id="235" w:name="_Toc23103"/>
      <w:r>
        <w:rPr>
          <w:rFonts w:hint="eastAsia" w:ascii="宋体" w:hAnsi="宋体" w:eastAsia="宋体" w:cs="宋体"/>
          <w:spacing w:val="14"/>
          <w:sz w:val="24"/>
          <w:szCs w:val="24"/>
        </w:rPr>
        <w:t>13.2竣工验收</w:t>
      </w:r>
      <w:bookmarkEnd w:id="234"/>
      <w:bookmarkEnd w:id="23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13.2.1竣工验收条件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工程具备以下条件的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承包人可以申请竣工验收：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（1）除发包人同意的甩项工作和缺陷修补工作外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合同范围内的全部工程以及有关工作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包括合同要求的试验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试运行以及检验均已完成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并符合合同要求</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（2）已按合同约定编制了甩项工作和缺陷修补工作清单以及相应的施工计划</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（3）已按合同约定的内容和份数备齐竣工资料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13.2.2竣工验收程序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承包人申请竣工验收的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应当按照以下程序进行：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（1）承包人向监理人报送竣工验收申请报告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监理人应在收到竣工验收申请报告后14天内完成审查并报送发包人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监理人审查后认为尚不具备验收条件的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应通知承包人在竣工验收前承包人还需完成的工作内容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承包人应在完成监理人通知的全部工作内容后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再次提交竣工验收申请报告</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（2）监理人审查后认为已具备竣工验收条件的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应将竣工验收申请报告提交发包人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发包人应在收到经监理人审核的竣工验收申请报告后28天内审批完毕并组织监理人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设计人等相关单位完成竣工验收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（3）竣工验收合格的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发包人应在验收合格后14天内向承包人签发工程接收证书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发包人无正当理由逾期不颁发工程接收证书的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自验收合格后第15天起视为已颁发工程接收证书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（4）竣工验收不合格的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监理人应按照验收意见发出指示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要求承包人对不合格工程返工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修复或采取其他补救措施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承包人在完成不合格工程的返工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修复或采取其他补救措施后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应重新提交竣工验收申请报告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并按本项约定的程序重新进行验收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（5）工程未经验收或验收不合格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发包人擅自使用的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应在转移占有工程后7天内向承包人颁发工程接收证书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发包人无正当理由逾期不颁发工程接收证书的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自转移占有后第15天起视为已颁发工程接收证书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发包人不按照本项约定组织竣工验收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颁发工程接收证书的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每逾期一天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应以签约合同价为基数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按照中国人民银行发布的同期同类贷款基准利率支付违约金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13.2.3竣工日期</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工程经竣工验收合格的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以承包人提交竣工验收申请报告之日为实际竣工日期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并在工程接收证书中载明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因发包人原因</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未在监理人收到承包人提交的竣工验收申请报告42天内完成竣工验收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或完成竣工验收不予签发工程接收证书的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以提交竣工验收申请报告的日期为实际竣工日期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工程未经竣工验收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发包人擅自使用的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以转移占有工程之日为实际竣工日期</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13.2.4 拒绝接收全部或部分工程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对于竣工验收不合格的工程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承包人完成整改后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应当重新进行竣工验收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经重新组织验收仍不合格的且无法采取措施补救的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则发包人可以拒绝接收不合格工程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因不合格工程导致其他工程不能正常使用的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承包人应采取措施确保相关工程的正常使用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13.2.5 移交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接收全部与部分工程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合同当事人应当在颁发工程接收证书后7天内完成工程的移交</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发包人无正当理由不接收工程的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发包人自应当接收工程之日起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承担工程照管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成品保护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保管等与工程有关的各项费用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合同当事人可以在专用合同条款中另行约定发包人逾期接收工程的违约责任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承包人无正当理由不移交工程的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承包人应承担工程照管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成品保护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保管等与工程有关的各项费用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合同当事人可以在专用合同条款中另行约定承包人无正当理由不移交工程的违约责任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36" w:name="_Toc1645"/>
      <w:bookmarkStart w:id="237" w:name="_Toc29104"/>
      <w:r>
        <w:rPr>
          <w:rFonts w:hint="eastAsia" w:ascii="宋体" w:hAnsi="宋体" w:eastAsia="宋体" w:cs="宋体"/>
          <w:spacing w:val="14"/>
          <w:sz w:val="24"/>
          <w:szCs w:val="24"/>
        </w:rPr>
        <w:t>13.3工程试车</w:t>
      </w:r>
      <w:bookmarkEnd w:id="236"/>
      <w:bookmarkEnd w:id="23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13.3.1试车程序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工程需要试车的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试车内容应与承包人承包范围相一致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试车费用由承包人承担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工程试车应按如下程序进行：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（1）具备单机无负荷试车条件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承包人组织试车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并在试车前48小时书面通知监理人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通知中应载明试车内容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时间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地点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承包人准备试车记录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发包人根据承包人要求为试车提供必要条件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试车合格的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监理人在试车记录上签字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监理人在试车合格后不在试车记录上签字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自试车结束满24小时后视为监理人已经认可试车记录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承包人可继续施工或办理竣工验收手续</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监理人不能按时参加试车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应在试车前24小时以书面形式向承包人提出延期要求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但延期不能超过48小时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由此导致工期延误的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工期应予以顺延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监理人未能在前述期限内提出延期要求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又不参加试车的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视为认可试车记录</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（2）具备无负荷联动试车条件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发包人组织试车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并在试车前48小时以书面形式通知承包人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通知中应载明试车内容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时间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地点和对承包人的要求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承包人按要求做好准备工作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试车合格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合同当事人在试车记录上签字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承包人无正当理由不参加试车的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视为认可试车记录</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13.3.2 试车中的责任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因设计原因导致试车达不到验收要求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发包人应要求设计人修改设计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承包人按修改后的设计重新安装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发包人承担修改设计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拆除及重新安装的全部费用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工期相应顺延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因承包人原因导致试车达不到验收要求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承包人按监理人要求重新安装和试车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并承担重新安装和试车的费用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工期不予顺延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因工程设备制造原因导致试车达不到验收要求的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由采购该工程设备的合同当事人负责重新购置或修理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承包人负责拆除和重新安装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由此增加的修理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重新购置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拆除及重新安装的费用及延误的工期由采购该工程设备的合同当事人承担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13.3.3 投料试车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如需进行投料试车的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发包人应在工程竣工验收后组织投料试车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发包人要求在工程竣工验收前进行或需要承包人配合时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应征得承包人同意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并在专用合同条款中约定有关事项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投料试车合格的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费用由发包人承担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因承包人原因造成投料试车不合格的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承包人应按照发包人要求进行整改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由此产生的整改费用由承包人承担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非因承包人原因导致投料试车不合格的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如发包人要求承包人进行整改的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由此产生的费用由发包人承担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38" w:name="_Toc6093"/>
      <w:bookmarkStart w:id="239" w:name="_Toc32352"/>
      <w:r>
        <w:rPr>
          <w:rFonts w:hint="eastAsia" w:ascii="宋体" w:hAnsi="宋体" w:eastAsia="宋体" w:cs="宋体"/>
          <w:spacing w:val="14"/>
          <w:sz w:val="24"/>
          <w:szCs w:val="24"/>
        </w:rPr>
        <w:t>13.4提前交付单位工程的验收</w:t>
      </w:r>
      <w:bookmarkEnd w:id="238"/>
      <w:bookmarkEnd w:id="23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13.4.1 发包人需要在工程竣工前使用单位工程的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或承包人提出提前交付已经竣工的单位工程且经发包人同意的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可进行单位工程验收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验收的程序按照第13.2款〔竣工验收〕的约定进行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验收合格后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由监理人向承包人出具经发包人签认的单位工程接收证书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已签发单位工程接收证书的单位工程由发包人负责照管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单位工程的验收成果和结论作为整体工程竣工验收申请报告的附件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13.4.2 发包人要求在工程竣工前交付单位工程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由此导致承包人费用增加和（或）工期延误的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由发包人承担由此增加的费用和（或）延误的工期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并支付承包人合理的利润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40" w:name="_Toc14431"/>
      <w:bookmarkStart w:id="241" w:name="_Toc3545"/>
      <w:r>
        <w:rPr>
          <w:rFonts w:hint="eastAsia" w:ascii="宋体" w:hAnsi="宋体" w:eastAsia="宋体" w:cs="宋体"/>
          <w:spacing w:val="14"/>
          <w:sz w:val="24"/>
          <w:szCs w:val="24"/>
        </w:rPr>
        <w:t>13.5 施工期运行</w:t>
      </w:r>
      <w:bookmarkEnd w:id="240"/>
      <w:bookmarkEnd w:id="24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13.5.1 施工期运行是指合同工程尚未全部竣工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其中某项或某几项单位工程或工程设备安装已竣工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根据专用合同条款约定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需要投入施工期运行的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经发包人按第13.4款〔提前交付单位工程的验收〕的约定验收合格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证明能确保安全后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才能在施工期投入运行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13.5.2 在施工期运行中发现工程或工程设备损坏或存在缺陷的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由承包人按第15.2款〔缺陷责任期〕约定进行修复</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42" w:name="_Toc10625"/>
      <w:bookmarkStart w:id="243" w:name="_Toc10575"/>
      <w:r>
        <w:rPr>
          <w:rFonts w:hint="eastAsia" w:ascii="宋体" w:hAnsi="宋体" w:eastAsia="宋体" w:cs="宋体"/>
          <w:spacing w:val="14"/>
          <w:sz w:val="24"/>
          <w:szCs w:val="24"/>
        </w:rPr>
        <w:t>13.6 竣工退场</w:t>
      </w:r>
      <w:bookmarkEnd w:id="242"/>
      <w:bookmarkEnd w:id="24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13.6.1 竣工退场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颁发工程接收证书后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承包人应按以下要求对施工现场进行清理：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（1）施工现场内残留的垃圾已全部清除出场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（2）临时工程已拆除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场地已进行清理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平整或复原</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（3）按合同约定应撤离的人员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承包人施工设备和剩余的材料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包括废弃的施工设备和材料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已按计划撤离施工现场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（4）施工现场周边及其附近道路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河道的施工堆积物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已全部清理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（5）施工现场其他场地清理工作已全部完成</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施工现场的竣工退场费用由承包人承担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承包人应在专用合同条款约定的期限内完成竣工退场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逾期未完成的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发包人有权出售或另行处理承包人遗留的物品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由此支出的费用由承包人承担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发包人出售承包人遗留物品所得款项在扣除必要费用后应返还承包人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13.6.2 地表还原</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承包人应按发包人要求恢复临时占地及清理场地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承包人未按发包人的要求恢复临时占地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或者场地清理未达到合同约定要求的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发包人有权委托其他人恢复或清理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所发生的费用由承包人承担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44" w:name="_Toc11369"/>
      <w:bookmarkStart w:id="245" w:name="_Toc30800"/>
      <w:r>
        <w:rPr>
          <w:rFonts w:hint="eastAsia" w:ascii="宋体" w:hAnsi="宋体" w:eastAsia="宋体" w:cs="宋体"/>
          <w:spacing w:val="14"/>
          <w:sz w:val="24"/>
          <w:szCs w:val="24"/>
        </w:rPr>
        <w:t>14. 竣工结算</w:t>
      </w:r>
      <w:bookmarkEnd w:id="244"/>
      <w:bookmarkEnd w:id="24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46" w:name="_Toc5370"/>
      <w:bookmarkStart w:id="247" w:name="_Toc18766"/>
      <w:r>
        <w:rPr>
          <w:rFonts w:hint="eastAsia" w:ascii="宋体" w:hAnsi="宋体" w:eastAsia="宋体" w:cs="宋体"/>
          <w:spacing w:val="14"/>
          <w:sz w:val="24"/>
          <w:szCs w:val="24"/>
        </w:rPr>
        <w:t>14.1 竣工结算申请</w:t>
      </w:r>
      <w:bookmarkEnd w:id="246"/>
      <w:bookmarkEnd w:id="24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承包人应在工程竣工验收合格后28天内向发包人和监理人提交竣工结算申请单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并提交完整的结算资料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有关竣工结算申请单的资料清单和份数等要求由合同当事人在专用合同条款中约定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竣工结算申请单应包括以下内容：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（1）竣工结算合同价格</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（2）发包人已支付承包人的款项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（3）应扣留的质量保证金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已缴纳履约保证金的或提供其他工程质量担保方式的除外</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（4）发包人应支付承包人的合同价款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48" w:name="_Toc6252"/>
      <w:bookmarkStart w:id="249" w:name="_Toc18483"/>
      <w:r>
        <w:rPr>
          <w:rFonts w:hint="eastAsia" w:ascii="宋体" w:hAnsi="宋体" w:eastAsia="宋体" w:cs="宋体"/>
          <w:spacing w:val="14"/>
          <w:sz w:val="24"/>
          <w:szCs w:val="24"/>
        </w:rPr>
        <w:t>14.2 竣工结算审核</w:t>
      </w:r>
      <w:bookmarkEnd w:id="248"/>
      <w:bookmarkEnd w:id="24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监理人应在收到竣工结算申请单后14天内完成核查并报送发包人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发包人应在收到监理人提交的经审核的竣工结算申请单后14天内完成审批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并由监理人向承包人签发经发包人签认的竣工付款证书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监理人或发包人对竣工结算申请单有异议的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有权要求承包人进行修正和提供补充资料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承包人应提交修正后的竣工结算申请单</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发包人在收到承包人提交竣工结算申请书后28天内未完成审批且未提出异议的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视为发包人认可承包人提交的竣工结算申请单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并自发包人收到承包人提交的竣工结算申请单后第29天起视为已签发竣工付款证书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发包人应在签发竣工付款证书后的14 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完成对承包人的竣工付款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发包人逾期支付的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按照中国人民银行发布的同期同类贷款基准利率支付违约金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逾期支付超过56天的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按照中国人民银行发布的同期同类贷款基准利率的两倍支付违约金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（3）承包人对发包人签认的竣工付款证书有异议的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对于有异议部分应在收到发包人签认的竣工付款证书后7天内提出异议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并由合同当事人按照专用合同条款约定的方式和程序进行复核</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或按照第20条〔争议解决〕约定处理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对于无异议部分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发包人应签发临时竣工付款证书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并按本款第（2）项完成付款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承包人逾期未提出异议的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视为认可发包人的审批结果</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50" w:name="_Toc25526"/>
      <w:bookmarkStart w:id="251" w:name="_Toc12858"/>
      <w:r>
        <w:rPr>
          <w:rFonts w:hint="eastAsia" w:ascii="宋体" w:hAnsi="宋体" w:eastAsia="宋体" w:cs="宋体"/>
          <w:spacing w:val="14"/>
          <w:sz w:val="24"/>
          <w:szCs w:val="24"/>
        </w:rPr>
        <w:t>14.3 甩项竣工协议</w:t>
      </w:r>
      <w:bookmarkEnd w:id="250"/>
      <w:bookmarkEnd w:id="25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发包人要求甩项竣工的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合同当事人应签订甩项竣工协议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在甩项竣工协议中应明确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合同当事人按照第14.1款〔竣工结算申请〕及14.2款〔竣工结算审核〕的约定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对已完合格工程进行结算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并支付相应合同价款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52" w:name="_Toc18864"/>
      <w:bookmarkStart w:id="253" w:name="_Toc6951"/>
      <w:r>
        <w:rPr>
          <w:rFonts w:hint="eastAsia" w:ascii="宋体" w:hAnsi="宋体" w:eastAsia="宋体" w:cs="宋体"/>
          <w:spacing w:val="14"/>
          <w:sz w:val="24"/>
          <w:szCs w:val="24"/>
        </w:rPr>
        <w:t>14.4 最终结清</w:t>
      </w:r>
      <w:bookmarkEnd w:id="252"/>
      <w:bookmarkEnd w:id="25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14.4.1 最终结清申请单</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承包人应在缺陷责任期终止证书颁发后7天内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按专用合同条款约定的份数向发包人提交最终结清申请单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并提供相关证明材料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最终结清申请单应列明质量保证金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应扣除的质量保证金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缺陷责任期内发生的增减费用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（2）发包人对最终结清申请单内容有异议的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有权要求承包人进行修正和提供补充资料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承包人应向发包人提交修正后的最终结清申请单</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14.4.2 最终结清证书和支付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发包人应在收到承包人提交的最终结清申请单后14天内完成审批并向承包人颁发最终结清证书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发包人逾期未完成审批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又未提出修改意见的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视为发包人同意承包人提交的最终结清申请单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且自发包人收到承包人提交的最终结清申请单后15天起视为已颁发最终结清证书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发包人应在颁发最终结清证书后7天内完成支付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发包人逾期支付的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按照中国人民银行发布的同期同类贷款基准利率支付违约金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逾期支付超过56天的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按照中国人民银行发布的同期同类贷款基准利率的两倍支付违约金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（3）承包人对发包人颁发的最终结清证书有异议的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按第20条〔争议解决〕的约定办理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54" w:name="_Toc9628"/>
      <w:bookmarkStart w:id="255" w:name="_Toc6746"/>
      <w:r>
        <w:rPr>
          <w:rFonts w:hint="eastAsia" w:ascii="宋体" w:hAnsi="宋体" w:eastAsia="宋体" w:cs="宋体"/>
          <w:spacing w:val="14"/>
          <w:sz w:val="24"/>
          <w:szCs w:val="24"/>
        </w:rPr>
        <w:t>15. 缺陷责任与保修</w:t>
      </w:r>
      <w:bookmarkEnd w:id="254"/>
      <w:bookmarkEnd w:id="25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56" w:name="_Toc6108"/>
      <w:bookmarkStart w:id="257" w:name="_Toc546"/>
      <w:r>
        <w:rPr>
          <w:rFonts w:hint="eastAsia" w:ascii="宋体" w:hAnsi="宋体" w:eastAsia="宋体" w:cs="宋体"/>
          <w:spacing w:val="14"/>
          <w:sz w:val="24"/>
          <w:szCs w:val="24"/>
        </w:rPr>
        <w:t>15.1 工程保修的原则</w:t>
      </w:r>
      <w:bookmarkEnd w:id="256"/>
      <w:bookmarkEnd w:id="25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在工程移交发包人后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因承包人原因产生的质量缺陷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承包人应承担质量缺陷责任和保修义务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缺陷责任期届满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承包人仍应按合同约定的工程各部位保修年限承担保修义务</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58" w:name="_Toc10997"/>
      <w:bookmarkStart w:id="259" w:name="_Toc22044"/>
      <w:r>
        <w:rPr>
          <w:rFonts w:hint="eastAsia" w:ascii="宋体" w:hAnsi="宋体" w:eastAsia="宋体" w:cs="宋体"/>
          <w:spacing w:val="14"/>
          <w:sz w:val="24"/>
          <w:szCs w:val="24"/>
        </w:rPr>
        <w:t>15.2 缺陷责任期</w:t>
      </w:r>
      <w:bookmarkEnd w:id="258"/>
      <w:bookmarkEnd w:id="25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15.2.1 缺陷责任期从工程通过竣工验收之日起计算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合同当事人应在专用合同条款约定缺陷责任期的具体期限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但该期限最长不超过24个月</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单位工程先于全部工程进行验收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经验收合格并交付使用的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该单位工程缺陷责任期自单位工程验收合格之日起算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因承包人原因导致工程无法按合同约定期限进行竣工验收的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缺陷责任期从实际通过竣工验收之日起计算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因发包人原因导致工程无法按合同约定期限进行竣工验收的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在承包人提交竣工验收报告90天后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工程自动进入缺陷责任期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发包人未经竣工验收擅自使用工程的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缺陷责任期自工程转移占有之日起开始计算</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15.2.2缺陷责任期内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由承包人原因造成的缺陷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承包人应负责维修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并承担鉴定及维修费用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如承包人不维修也不承担费用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发包人可按合同约定从保证金或银行保函中扣除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费用超出保证金额的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发包人可按合同约定向承包人进行索赔</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承包人维修并承担相应费用后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不免除对工程的损失赔偿责任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发包人有权要求承包人延长缺陷责任期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并应在原缺陷责任期届满前发出延长通知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但缺陷责任期（含延长部分）最长不能超过24个月</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由他人原因造成的缺陷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发包人负责组织维修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承包人不承担费用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且发包人不得从保证金中扣除费用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15.2.3 任何一项缺陷或损坏修复后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经检查证明其影响了工程或工程设备的使用性能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承包人应重新进行合同约定的试验和试运行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试验和试运行的全部费用应由责任方承担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15.2.4 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承包人应于缺陷责任期届满后7天内向发包人发出缺陷责任期届满通知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发包人应在收到缺陷责任期满通知后14天内核实承包人是否履行缺陷修复义务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承包人未能履行缺陷修复义务的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发包人有权扣除相应金额的维修费用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发包人应在收到缺陷责任期届满通知后14天内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向承包人颁发缺陷责任期终止证书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60" w:name="_Toc6136"/>
      <w:bookmarkStart w:id="261" w:name="_Toc11834"/>
      <w:r>
        <w:rPr>
          <w:rFonts w:hint="eastAsia" w:ascii="宋体" w:hAnsi="宋体" w:eastAsia="宋体" w:cs="宋体"/>
          <w:spacing w:val="14"/>
          <w:sz w:val="24"/>
          <w:szCs w:val="24"/>
        </w:rPr>
        <w:t>15.3 质量保证金</w:t>
      </w:r>
      <w:bookmarkEnd w:id="260"/>
      <w:bookmarkEnd w:id="26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经合同当事人协商一致扣留质量保证金的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应在专用合同条款中予以明确</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在工程项目竣工前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承包人已经提供履约担保的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发包人不得同时预留工程质量保证金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15.3.1 承包人提供质量保证金的方式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承包人提供质量保证金有以下三种方式：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（1）质量保证金保函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 xml:space="preserve">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（2）相应比例的工程款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（3）双方约定的其他方式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质量保证金原则上采用上述第（1）种方式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15.3.2 质量保证金的扣留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质量保证金的扣留有以下三种方式：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（1）在支付工程进度款时逐次扣留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在此情形下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质量保证金的计算基数不包括预付款的支付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扣回以及价格调整的金额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（2）工程竣工结算时一次性扣留质量保证金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（3）双方约定的其他扣留方式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highlight w:val="none"/>
          <w:lang w:eastAsia="zh-CN"/>
        </w:rPr>
      </w:pPr>
      <w:r>
        <w:rPr>
          <w:rFonts w:hint="eastAsia" w:ascii="宋体" w:hAnsi="宋体" w:eastAsia="宋体" w:cs="宋体"/>
          <w:spacing w:val="14"/>
          <w:sz w:val="24"/>
          <w:szCs w:val="24"/>
          <w:highlight w:val="none"/>
        </w:rPr>
        <w:t>除专用合同条款另有约定外</w:t>
      </w:r>
      <w:r>
        <w:rPr>
          <w:rFonts w:hint="eastAsia" w:ascii="宋体" w:hAnsi="宋体" w:eastAsia="宋体" w:cs="宋体"/>
          <w:spacing w:val="14"/>
          <w:sz w:val="24"/>
          <w:szCs w:val="24"/>
          <w:highlight w:val="none"/>
          <w:lang w:eastAsia="zh-CN"/>
        </w:rPr>
        <w:t>，</w:t>
      </w:r>
      <w:r>
        <w:rPr>
          <w:rFonts w:hint="eastAsia" w:ascii="宋体" w:hAnsi="宋体" w:eastAsia="宋体" w:cs="宋体"/>
          <w:spacing w:val="14"/>
          <w:sz w:val="24"/>
          <w:szCs w:val="24"/>
          <w:highlight w:val="none"/>
        </w:rPr>
        <w:t>质量保证金的扣留原则上采用上述第（1）种方式</w:t>
      </w:r>
      <w:r>
        <w:rPr>
          <w:rFonts w:hint="eastAsia" w:ascii="宋体" w:hAnsi="宋体" w:eastAsia="宋体" w:cs="宋体"/>
          <w:spacing w:val="14"/>
          <w:sz w:val="24"/>
          <w:szCs w:val="24"/>
          <w:highlight w:val="none"/>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highlight w:val="none"/>
          <w:lang w:eastAsia="zh-CN"/>
        </w:rPr>
      </w:pPr>
      <w:r>
        <w:rPr>
          <w:rFonts w:hint="eastAsia" w:ascii="宋体" w:hAnsi="宋体" w:eastAsia="宋体" w:cs="宋体"/>
          <w:spacing w:val="14"/>
          <w:sz w:val="24"/>
          <w:szCs w:val="24"/>
          <w:highlight w:val="none"/>
        </w:rPr>
        <w:t>发包人累计扣留的质量保证金不得超过工程价款结算总额的3%</w:t>
      </w:r>
      <w:r>
        <w:rPr>
          <w:rFonts w:hint="eastAsia" w:ascii="宋体" w:hAnsi="宋体" w:eastAsia="宋体" w:cs="宋体"/>
          <w:spacing w:val="14"/>
          <w:sz w:val="24"/>
          <w:szCs w:val="24"/>
          <w:highlight w:val="none"/>
          <w:lang w:eastAsia="zh-CN"/>
        </w:rPr>
        <w:t>。</w:t>
      </w:r>
      <w:r>
        <w:rPr>
          <w:rFonts w:hint="eastAsia" w:ascii="宋体" w:hAnsi="宋体" w:eastAsia="宋体" w:cs="宋体"/>
          <w:spacing w:val="14"/>
          <w:sz w:val="24"/>
          <w:szCs w:val="24"/>
          <w:highlight w:val="none"/>
        </w:rPr>
        <w:t>如承包人在发包人签发竣工付款证书后28天内提交质量保证金保函</w:t>
      </w:r>
      <w:r>
        <w:rPr>
          <w:rFonts w:hint="eastAsia" w:ascii="宋体" w:hAnsi="宋体" w:eastAsia="宋体" w:cs="宋体"/>
          <w:spacing w:val="14"/>
          <w:sz w:val="24"/>
          <w:szCs w:val="24"/>
          <w:highlight w:val="none"/>
          <w:lang w:eastAsia="zh-CN"/>
        </w:rPr>
        <w:t>，</w:t>
      </w:r>
      <w:r>
        <w:rPr>
          <w:rFonts w:hint="eastAsia" w:ascii="宋体" w:hAnsi="宋体" w:eastAsia="宋体" w:cs="宋体"/>
          <w:spacing w:val="14"/>
          <w:sz w:val="24"/>
          <w:szCs w:val="24"/>
          <w:highlight w:val="none"/>
        </w:rPr>
        <w:t>发包人应同时退还扣留的作为质量保证金的工程价款</w:t>
      </w:r>
      <w:r>
        <w:rPr>
          <w:rFonts w:hint="eastAsia" w:ascii="宋体" w:hAnsi="宋体" w:eastAsia="宋体" w:cs="宋体"/>
          <w:spacing w:val="14"/>
          <w:sz w:val="24"/>
          <w:szCs w:val="24"/>
          <w:highlight w:val="none"/>
          <w:lang w:eastAsia="zh-CN"/>
        </w:rPr>
        <w:t>；</w:t>
      </w:r>
      <w:r>
        <w:rPr>
          <w:rFonts w:hint="eastAsia" w:ascii="宋体" w:hAnsi="宋体" w:eastAsia="宋体" w:cs="宋体"/>
          <w:spacing w:val="14"/>
          <w:sz w:val="24"/>
          <w:szCs w:val="24"/>
          <w:highlight w:val="none"/>
        </w:rPr>
        <w:t>保函金额不得超过工程价款结算总额的3%</w:t>
      </w:r>
      <w:r>
        <w:rPr>
          <w:rFonts w:hint="eastAsia" w:ascii="宋体" w:hAnsi="宋体" w:eastAsia="宋体" w:cs="宋体"/>
          <w:spacing w:val="14"/>
          <w:sz w:val="24"/>
          <w:szCs w:val="24"/>
          <w:highlight w:val="none"/>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发包人在退还质量保证金的同时按照中国人民银行发布的同期同类贷款基准利率支付利息</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15.3.3 质量保证金的退还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缺陷责任期内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承包人认真履行合同约定的责任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到期后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承包人可向发包人申请返还保证金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发包人在接到承包人返还保证金申请后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应于14天内会同承包人按照合同约定的内容进行核实</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如无异议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发包人应当按照约定将保证金返还给承包人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对返还期限没有约定或者约定不明确的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发包人应当在核实后14天内将保证金返还承包人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逾期未返还的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依法承担违约责任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发包人在接到承包人返还保证金申请后14天内不予答复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经催告后14天内仍不予答复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视同认可承包人的返还保证金申请</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发包人和承包人对保证金预留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返还以及工程维修质量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费用有争议的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按本合同第20条约定的争议和纠纷解决程序处理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62" w:name="_Toc17013"/>
      <w:bookmarkStart w:id="263" w:name="_Toc14256"/>
      <w:r>
        <w:rPr>
          <w:rFonts w:hint="eastAsia" w:ascii="宋体" w:hAnsi="宋体" w:eastAsia="宋体" w:cs="宋体"/>
          <w:spacing w:val="14"/>
          <w:sz w:val="24"/>
          <w:szCs w:val="24"/>
        </w:rPr>
        <w:t>15.4 保修</w:t>
      </w:r>
      <w:bookmarkEnd w:id="262"/>
      <w:bookmarkEnd w:id="26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15.4.1保修责任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工程保修期从工程竣工验收合格之日起算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具体分部分项工程的保修期由合同当事人在专用合同条款中约定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但不得低于法定最低保修年限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在工程保修期内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承包人应当根据有关法律规定以及合同约定承担保修责任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发包人未经竣工验收擅自使用工程的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保修期自转移占有之日起算</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15.4.2 修复费用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保修期内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修复的费用按照以下约定处理：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（1）保修期内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因承包人原因造成工程的缺陷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损坏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承包人应负责修复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并承担修复的费用以及因工程的缺陷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损坏造成的人身伤害和财产损失</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（2）保修期内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因发包人使用不当造成工程的缺陷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损坏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可以委托承包人修复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但发包人应承担修复的费用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并支付承包人合理利润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（3）因其他原因造成工程的缺陷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损坏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可以委托承包人修复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发包人应承担修复的费用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并支付承包人合理的利润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因工程的缺陷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损坏造成的人身伤害和财产损失由责任方承担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15.4.3 修复通知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在保修期内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发包人在使用过程中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发现已接收的工程存在缺陷或损坏的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应书面通知承包人予以修复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但情况紧急必须立即修复缺陷或损坏的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发包人可以口头通知承包人并在口头通知后48小时内书面确认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承包人应在专用合同条款约定的合理期限内到达工程现场并修复缺陷或损坏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15.4.4 未能修复</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因承包人原因造成工程的缺陷或损坏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承包人拒绝维修或未能在合理期限内修复缺陷或损坏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且经发包人书面催告后仍未修复的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发包人有权自行修复或委托第三方修复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所需费用由承包人承担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但修复范围超出缺陷或损坏范围的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超出范围部分的修复费用由发包人承担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15.4.5 承包人出入权</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在保修期内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为了修复缺陷或损坏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承包人有权出入工程现场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除情况紧急必须立即修复缺陷或损坏外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承包人应提前24小时通知发包人进场修复的时间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承包人进入工程现场前应获得发包人同意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且不应影响发包人正常的生产经营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并应遵守发包人有关保安和保密等规定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64" w:name="_Toc289"/>
      <w:bookmarkStart w:id="265" w:name="_Toc31757"/>
      <w:r>
        <w:rPr>
          <w:rFonts w:hint="eastAsia" w:ascii="宋体" w:hAnsi="宋体" w:eastAsia="宋体" w:cs="宋体"/>
          <w:spacing w:val="14"/>
          <w:sz w:val="24"/>
          <w:szCs w:val="24"/>
        </w:rPr>
        <w:t>16. 违约</w:t>
      </w:r>
      <w:bookmarkEnd w:id="264"/>
      <w:bookmarkEnd w:id="26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66" w:name="_Toc4776"/>
      <w:bookmarkStart w:id="267" w:name="_Toc2597"/>
      <w:r>
        <w:rPr>
          <w:rFonts w:hint="eastAsia" w:ascii="宋体" w:hAnsi="宋体" w:eastAsia="宋体" w:cs="宋体"/>
          <w:spacing w:val="14"/>
          <w:sz w:val="24"/>
          <w:szCs w:val="24"/>
        </w:rPr>
        <w:t>16.1 发包人违约</w:t>
      </w:r>
      <w:bookmarkEnd w:id="266"/>
      <w:bookmarkEnd w:id="26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16.1.1 发包人违约的情形</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在合同履行过程中发生的下列情形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属于发包人违约：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（1）因发包人原因未能在计划开工日期前7天内下达开工通知的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（2）因发包人原因未能按合同约定支付合同价款的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（3）发包人违反第10.1款〔变更的范围〕第（2）项约定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自行实施被取消的工作或转由他人实施的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（4）发包人提供的材料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工程设备的规格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数量或质量不符合合同约定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或因发包人原因导致交货日期延误或交货地点变更等情况的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（5）因发包人违反合同约定造成暂停施工的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（6）发包人无正当理由没有在约定期限内发出复工指示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导致承包人无法复工的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（7）发包人明确表示或者以其行为表明不履行合同主要义务的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（8）发包人未能按照合同约定履行其他义务的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发包人发生除本项第（7）目以外的违约情况时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承包人可向发包人发出通知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要求发包人采取有效措施纠正违约行为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发包人收到承包人通知后28天内仍不纠正违约行为的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承包人有权暂停相应部位工程施工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并通知监理人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16.1.2 发包人违约的责任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发包人应承担因其违约给承包人增加的费用和（或）延误的工期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并支付承包人合理的利润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此外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合同当事人可在专用合同条款中另行约定发包人违约责任的承担方式和计算方法</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16.1.3 因发包人违约解除合同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承包人按第16.1.1项〔发包人违约的情形〕约定暂停施工满28天后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发包人仍不纠正其违约行为并致使合同目的不能实现的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或出现第16.1.1项〔发包人违约的情形〕第（7）目约定的违约情况</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承包人有权解除合同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发包人应承担由此增加的费用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并支付承包人合理的利润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16.1.4 因发包人违约解除合同后的付款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承包人按照本款约定解除合同的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发包人应在解除合同后28天内支付下列款项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并解除履约担保：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（1）合同解除前所完成工作的价款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（2）承包人为工程施工订购并已付款的材料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工程设备和其他物品的价款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（3）承包人撤离施工现场以及遣散承包人人员的款项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（4）按照合同约定在合同解除前应支付的违约金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（5）按照合同约定应当支付给承包人的其他款项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（6）按照合同约定应退还的质量保证金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（7）因解除合同给承包人造成的损失</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合同当事人未能就解除合同后的结清达成一致的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按照第20条〔争议解决〕的约定处理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承包人应妥善做好已完工程和与工程有关的已购材料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工程设备的保护和移交工作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并将施工设备和人员撤出施工现场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发包人应为承包人撤出提供必要条件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68" w:name="_Toc5635"/>
      <w:bookmarkStart w:id="269" w:name="_Toc7583"/>
      <w:r>
        <w:rPr>
          <w:rFonts w:hint="eastAsia" w:ascii="宋体" w:hAnsi="宋体" w:eastAsia="宋体" w:cs="宋体"/>
          <w:spacing w:val="14"/>
          <w:sz w:val="24"/>
          <w:szCs w:val="24"/>
        </w:rPr>
        <w:t>16.2 承包人违约</w:t>
      </w:r>
      <w:bookmarkEnd w:id="268"/>
      <w:bookmarkEnd w:id="26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16.2.1 承包人违约的情形</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在合同履行过程中发生的下列情形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属于承包人违约：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（1）承包人违反合同约定进行转包或违法分包的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（2）承包人违反合同约定采购和使用不合格的材料和工程设备的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（3）因承包人原因导致工程质量不符合合同要求的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 xml:space="preserve">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（4）承包人违反第8.9款〔材料与设备专用要求〕的约定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未经批准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私自将已按照合同约定进入施工现场的材料或设备撤离施工现场的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（5）承包人未能按施工进度计划及时完成合同约定的工作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造成工期延误的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（6）承包人在缺陷责任期及保修期内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未能在合理期限对工程缺陷进行修复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或拒绝按发包人要求进行修复的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（7）承包人明确表示或者以其行为表明不履行合同主要义务的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（8）承包人未能按照合同约定履行其他义务的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承包人发生除本项第（7）目约定以外的其他违约情况时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监理人可向承包人发出整改通知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要求其在指定的期限内改正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16.2.2 承包人违约的责任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承包人应承担因其违约行为而增加的费用和（或）延误的工期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此外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合同当事人可在专用合同条款中另行约定承包人违约责任的承担方式和计算方法</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16.2.3 因承包人违约解除合同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出现第16.2.1项〔承包人违约的情形〕第（7）目约定的违约情况时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或监理人发出整改通知后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承包人在指定的合理期限内仍不纠正违约行为并致使合同目的不能实现的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发包人有权解除合同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合同解除后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因继续完成工程的需要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发包人有权使用承包人在施工现场的材料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临时工程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承包人文件和由承包人或以其名义编制的其他文件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合同当事人应在专用合同条款约定相应费用的承担方式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发包人继续使用的行为不免除或减轻承包人应承担的违约责任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16.2.4因承包人违约解除合同后的处理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因承包人原因导致合同解除的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则合同当事人应在合同解除后28天内完成估价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付款和清算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并按以下约定执行：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（1）合同解除后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按第4.4款〔商定或确定〕商定或确定承包人实际完成工作对应的合同价款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以及承包人已提供的材料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施工设备和临时工程等的价值</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（2）合同解除后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承包人应支付的违约金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（3）合同解除后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因解除合同给发包人造成的损失</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（4）合同解除后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承包人应按照发包人要求和监理人的指示完成现场的清理和撤离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（5）发包人和承包人应在合同解除后进行清算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出具最终结清付款证书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结清全部款项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因承包人违约解除合同的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发包人有权暂停对承包人的付款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查清各项付款和已扣款项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发包人和承包人未能就合同解除后的清算和款项支付达成一致的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按照第20条〔争议解决〕的约定处理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16.2.5采购合同权益转让</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因承包人违约解除合同的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发包人有权要求承包人将其为实施合同而签订的材料和设备的采购合同的权益转让给发包人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承包人应在收到解除合同通知后14天内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协助发包人与采购合同的供应商达成相关的转让协议</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70" w:name="_Toc1417"/>
      <w:bookmarkStart w:id="271" w:name="_Toc14569"/>
      <w:r>
        <w:rPr>
          <w:rFonts w:hint="eastAsia" w:ascii="宋体" w:hAnsi="宋体" w:eastAsia="宋体" w:cs="宋体"/>
          <w:spacing w:val="14"/>
          <w:sz w:val="24"/>
          <w:szCs w:val="24"/>
        </w:rPr>
        <w:t>16.3 第三人造成的违约</w:t>
      </w:r>
      <w:bookmarkEnd w:id="270"/>
      <w:bookmarkEnd w:id="27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在履行合同过程中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一方当事人因第三人的原因造成违约的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应当向对方当事人承担违约责任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一方当事人和第三人之间的纠纷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依照法律规定或者按照约定解决</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72" w:name="_Toc7437"/>
      <w:bookmarkStart w:id="273" w:name="_Toc487"/>
      <w:r>
        <w:rPr>
          <w:rFonts w:hint="eastAsia" w:ascii="宋体" w:hAnsi="宋体" w:eastAsia="宋体" w:cs="宋体"/>
          <w:spacing w:val="14"/>
          <w:sz w:val="24"/>
          <w:szCs w:val="24"/>
        </w:rPr>
        <w:t>17. 不可抗力</w:t>
      </w:r>
      <w:bookmarkEnd w:id="272"/>
      <w:bookmarkEnd w:id="273"/>
      <w:r>
        <w:rPr>
          <w:rFonts w:hint="eastAsia" w:ascii="宋体" w:hAnsi="宋体" w:eastAsia="宋体" w:cs="宋体"/>
          <w:spacing w:val="14"/>
          <w:sz w:val="24"/>
          <w:szCs w:val="24"/>
        </w:rPr>
        <w:t xml:space="preserve">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74" w:name="_Toc27557"/>
      <w:bookmarkStart w:id="275" w:name="_Toc16970"/>
      <w:r>
        <w:rPr>
          <w:rFonts w:hint="eastAsia" w:ascii="宋体" w:hAnsi="宋体" w:eastAsia="宋体" w:cs="宋体"/>
          <w:spacing w:val="14"/>
          <w:sz w:val="24"/>
          <w:szCs w:val="24"/>
        </w:rPr>
        <w:t>17.1 不可抗力的确认</w:t>
      </w:r>
      <w:bookmarkEnd w:id="274"/>
      <w:bookmarkEnd w:id="27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不可抗力是指合同当事人在签订合同时不可预见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在合同履行过程中不可避免且不能克服的自然灾害和社会性突发事件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如地震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海啸</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瘟疫</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骚乱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戒严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暴动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战争和专用合同条款中约定的其他情形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不可抗力发生后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发包人和承包人应收集证明不可抗力发生及不可抗力造成损失的证据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并及时认真统计所造成的损失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合同当事人对是否属于不可抗力或其损失的意见不一致的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由监理人按第4.4款〔商定或确定〕的约定处理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发生争议时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按第20条〔争议解决〕的约定处理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76" w:name="_Toc30625"/>
      <w:bookmarkStart w:id="277" w:name="_Toc23996"/>
      <w:r>
        <w:rPr>
          <w:rFonts w:hint="eastAsia" w:ascii="宋体" w:hAnsi="宋体" w:eastAsia="宋体" w:cs="宋体"/>
          <w:spacing w:val="14"/>
          <w:sz w:val="24"/>
          <w:szCs w:val="24"/>
        </w:rPr>
        <w:t>17.2 不可抗力的通知</w:t>
      </w:r>
      <w:bookmarkEnd w:id="276"/>
      <w:bookmarkEnd w:id="27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合同一方当事人遇到不可抗力事件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使其履行合同义务受到阻碍时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应立即通知合同另一方当事人和监理人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书面说明不可抗力和受阻碍的详细情况</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并提供必要的证明</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不可抗力持续发生的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合同一方当事人应及时向合同另一方当事人和监理人提交中间报告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说明不可抗力和履行合同受阻的情况</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并于不可抗力事件结束后28天内提交最终报告及有关资料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78" w:name="_Toc10627"/>
      <w:bookmarkStart w:id="279" w:name="_Toc1746"/>
      <w:r>
        <w:rPr>
          <w:rFonts w:hint="eastAsia" w:ascii="宋体" w:hAnsi="宋体" w:eastAsia="宋体" w:cs="宋体"/>
          <w:spacing w:val="14"/>
          <w:sz w:val="24"/>
          <w:szCs w:val="24"/>
        </w:rPr>
        <w:t>17.3 不可抗力后果的承担</w:t>
      </w:r>
      <w:bookmarkEnd w:id="278"/>
      <w:bookmarkEnd w:id="27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17.3.1 不可抗力引起的后果及造成的损失由合同当事人按照法律规定及合同约定各自承担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不可抗力发生前已完成的工程应当按照合同约定进行</w:t>
      </w:r>
      <w:r>
        <w:rPr>
          <w:rFonts w:hint="eastAsia" w:ascii="宋体" w:hAnsi="宋体" w:eastAsia="宋体" w:cs="宋体"/>
          <w:spacing w:val="14"/>
          <w:sz w:val="24"/>
          <w:szCs w:val="24"/>
          <w:lang w:eastAsia="zh-CN"/>
        </w:rPr>
        <w:t>计量与支付。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17.3.2 不可抗力导致的人员伤亡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财产损失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费用增加和（或）工期延误等后果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由合同当事人按以下原则承担：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（1）永久工程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已运至施工现场的材料和工程设备的损坏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以及因工程损坏造成的第三人人员伤亡和财产损失由发包人承担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（2）承包人施工设备的损坏由承包人承担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（3）发包人和承包人承担各自人员伤亡和财产的损失</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（4）因不可抗力影响承包人履行合同约定的义务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已经引起或将引起工期延误的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应当顺延工期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由此导致承包人停工的费用损失由发包人和承包人合理分担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停工期间必须支付的工人工资由发包人承担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（5）因不可抗力引起或将引起工期延误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发包人要求赶工的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由此增加的赶工费用由发包人承担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（6）承包人在停工期间按照发包人要求照管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清理和修复工程的费用由发包人承担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不可抗力发生后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合同当事人均应采取措施尽量避免和减少损失的扩大</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任何一方当事人没有采取有效措施导致损失扩大的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应对扩大的损失承担责任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因合同一方迟延履行合同义务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在迟延履行期间遭遇不可抗力的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不免除其违约责任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80" w:name="_Toc4107"/>
      <w:bookmarkStart w:id="281" w:name="_Toc12418"/>
      <w:r>
        <w:rPr>
          <w:rFonts w:hint="eastAsia" w:ascii="宋体" w:hAnsi="宋体" w:eastAsia="宋体" w:cs="宋体"/>
          <w:spacing w:val="14"/>
          <w:sz w:val="24"/>
          <w:szCs w:val="24"/>
        </w:rPr>
        <w:t>17.4 因不可抗力解除合同</w:t>
      </w:r>
      <w:bookmarkEnd w:id="280"/>
      <w:bookmarkEnd w:id="28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因不可抗力导致合同无法履行连续超过84天或累计超过140天的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发包人和承包人均有权解除合同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合同解除后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由双方当事人按照第4.4款〔商定或确定〕商定或确定发包人应支付的款项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该款项包括：</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（1）合同解除前承包人已完成工作的价款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（2）承包人为工程订购的并已交付给承包人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或承包人有责任接受交付的材料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工程设备和其他物品的价款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（3）发包人要求承包人退货或解除订货合同而产生的费用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或因不能退货或解除合同而产生的损失</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（4）承包人撤离施工现场以及遣散承包人人员的费用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（5）按照合同约定在合同解除前应支付给承包人的其他款项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（6）扣减承包人按照合同约定应向发包人支付的款项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（7）双方商定或确定的其他款项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合同解除后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发包人应在商定或确定上述款项后28天内完成上述款项的支付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82" w:name="_Toc21064"/>
      <w:bookmarkStart w:id="283" w:name="_Toc7067"/>
      <w:r>
        <w:rPr>
          <w:rFonts w:hint="eastAsia" w:ascii="宋体" w:hAnsi="宋体" w:eastAsia="宋体" w:cs="宋体"/>
          <w:spacing w:val="14"/>
          <w:sz w:val="24"/>
          <w:szCs w:val="24"/>
        </w:rPr>
        <w:t>18. 保险</w:t>
      </w:r>
      <w:bookmarkEnd w:id="282"/>
      <w:bookmarkEnd w:id="28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84" w:name="_Toc6151"/>
      <w:bookmarkStart w:id="285" w:name="_Toc28608"/>
      <w:r>
        <w:rPr>
          <w:rFonts w:hint="eastAsia" w:ascii="宋体" w:hAnsi="宋体" w:eastAsia="宋体" w:cs="宋体"/>
          <w:spacing w:val="14"/>
          <w:sz w:val="24"/>
          <w:szCs w:val="24"/>
        </w:rPr>
        <w:t>18.1 工程保险</w:t>
      </w:r>
      <w:bookmarkEnd w:id="284"/>
      <w:bookmarkEnd w:id="28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发包人应投保建筑工程一切险或安装工程一切险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发包人委托承包人投保的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因投保产生的保险费和其他相关费用由发包人承担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86" w:name="_Toc18185"/>
      <w:bookmarkStart w:id="287" w:name="_Toc22971"/>
      <w:r>
        <w:rPr>
          <w:rFonts w:hint="eastAsia" w:ascii="宋体" w:hAnsi="宋体" w:eastAsia="宋体" w:cs="宋体"/>
          <w:spacing w:val="14"/>
          <w:sz w:val="24"/>
          <w:szCs w:val="24"/>
        </w:rPr>
        <w:t>18.2 工伤保险</w:t>
      </w:r>
      <w:bookmarkEnd w:id="286"/>
      <w:bookmarkEnd w:id="28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18.2.1 发包人应依照法律规定参加工伤保险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并为在施工现场的全部员工办理工伤保险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缴纳工伤保险费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并要求监理人及由发包人为履行合同聘请的第三方依法参加工伤保险</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18.2.2 承包人应依照法律规定参加工伤保险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并为其履行合同的全部员工办理工伤保险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缴纳工伤保险费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并要求分包人及由承包人为履行合同聘请的第三方依法参加工伤保险</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88" w:name="_Toc18387"/>
      <w:bookmarkStart w:id="289" w:name="_Toc29921"/>
      <w:r>
        <w:rPr>
          <w:rFonts w:hint="eastAsia" w:ascii="宋体" w:hAnsi="宋体" w:eastAsia="宋体" w:cs="宋体"/>
          <w:spacing w:val="14"/>
          <w:sz w:val="24"/>
          <w:szCs w:val="24"/>
        </w:rPr>
        <w:t>18.3其他保险</w:t>
      </w:r>
      <w:bookmarkEnd w:id="288"/>
      <w:bookmarkEnd w:id="28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发包人和承包人可以为其施工现场的全部人员办理意外伤害保险并支付保险费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包括其员工及为履行合同聘请的第三方的人员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具体事项由合同当事人在专用合同条款约定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承包人应为其施工设备等办理财产保险</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90" w:name="_Toc24550"/>
      <w:bookmarkStart w:id="291" w:name="_Toc944"/>
      <w:r>
        <w:rPr>
          <w:rFonts w:hint="eastAsia" w:ascii="宋体" w:hAnsi="宋体" w:eastAsia="宋体" w:cs="宋体"/>
          <w:spacing w:val="14"/>
          <w:sz w:val="24"/>
          <w:szCs w:val="24"/>
        </w:rPr>
        <w:t>18.4持续保险</w:t>
      </w:r>
      <w:bookmarkEnd w:id="290"/>
      <w:bookmarkEnd w:id="29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合同当事人应与保险人保持联系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使保险人能够随时了解工程实施中的变动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并确保按保险合同条款要求持续保险</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92" w:name="_Toc29549"/>
      <w:bookmarkStart w:id="293" w:name="_Toc32075"/>
      <w:r>
        <w:rPr>
          <w:rFonts w:hint="eastAsia" w:ascii="宋体" w:hAnsi="宋体" w:eastAsia="宋体" w:cs="宋体"/>
          <w:spacing w:val="14"/>
          <w:sz w:val="24"/>
          <w:szCs w:val="24"/>
        </w:rPr>
        <w:t>18.5 保险凭证</w:t>
      </w:r>
      <w:bookmarkEnd w:id="292"/>
      <w:bookmarkEnd w:id="29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合同当事人应及时向另一方当事人提交其已投保的各项保险的凭证和保险单复印件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94" w:name="_Toc3635"/>
      <w:bookmarkStart w:id="295" w:name="_Toc24619"/>
      <w:r>
        <w:rPr>
          <w:rFonts w:hint="eastAsia" w:ascii="宋体" w:hAnsi="宋体" w:eastAsia="宋体" w:cs="宋体"/>
          <w:spacing w:val="14"/>
          <w:sz w:val="24"/>
          <w:szCs w:val="24"/>
        </w:rPr>
        <w:t>18.6 未按约定投保的补救</w:t>
      </w:r>
      <w:bookmarkEnd w:id="294"/>
      <w:bookmarkEnd w:id="29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18.6.1发包人未按合同约定办理保险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或未能使保险持续有效的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则承包人可代为办理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所需费用由发包人承担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发包人未按合同约定办理保险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导致未能得到足额赔偿的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由发包人负责补足</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18.6.2承包人未按合同约定办理保险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或未能使保险持续有效的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则发包人可代为办理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所需费用由承包人承担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承包人未按合同约定办理保险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导致未能得到足额赔偿的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由承包人负责补足</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96" w:name="_Toc19066"/>
      <w:bookmarkStart w:id="297" w:name="_Toc29893"/>
      <w:r>
        <w:rPr>
          <w:rFonts w:hint="eastAsia" w:ascii="宋体" w:hAnsi="宋体" w:eastAsia="宋体" w:cs="宋体"/>
          <w:spacing w:val="14"/>
          <w:sz w:val="24"/>
          <w:szCs w:val="24"/>
        </w:rPr>
        <w:t>18.7 通知义务</w:t>
      </w:r>
      <w:bookmarkEnd w:id="296"/>
      <w:bookmarkEnd w:id="29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发包人变更除工伤保险之外的保险合同时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应事先征得承包人同意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并通知监理人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承包人变更除工伤保险之外的保险合同时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应事先征得发包人同意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并通知监理人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保险事故发生时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投保人应按照保险合同规定的条件和期限及时向保险人报告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发包人和承包人应当在知道保险事故发生后及时通知对方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98" w:name="_Toc22502"/>
      <w:bookmarkStart w:id="299" w:name="_Toc14952"/>
      <w:r>
        <w:rPr>
          <w:rFonts w:hint="eastAsia" w:ascii="宋体" w:hAnsi="宋体" w:eastAsia="宋体" w:cs="宋体"/>
          <w:spacing w:val="14"/>
          <w:sz w:val="24"/>
          <w:szCs w:val="24"/>
        </w:rPr>
        <w:t>19. 索赔</w:t>
      </w:r>
      <w:bookmarkEnd w:id="298"/>
      <w:bookmarkEnd w:id="29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00" w:name="_Toc17303"/>
      <w:bookmarkStart w:id="301" w:name="_Toc25430"/>
      <w:r>
        <w:rPr>
          <w:rFonts w:hint="eastAsia" w:ascii="宋体" w:hAnsi="宋体" w:eastAsia="宋体" w:cs="宋体"/>
          <w:spacing w:val="14"/>
          <w:sz w:val="24"/>
          <w:szCs w:val="24"/>
        </w:rPr>
        <w:t>19.1承包人的索赔</w:t>
      </w:r>
      <w:bookmarkEnd w:id="300"/>
      <w:bookmarkEnd w:id="30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根据合同约定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承包人认为有权得到追加付款和（或）延长工期的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应按以下程序向发包人提出索赔：</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（1）承包人应在知道或应当知道索赔事件发生后28天内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向监理人递交索赔意向通知书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并说明发生索赔事件的事由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承包人未在前述28天内发出索赔意向通知书的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丧失要求追加付款和（或）延长工期的权利</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（2）承包人应在发出索赔意向通知书后28天内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向监理人正式递交索赔报告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索赔报告应详细说明索赔理由以及要求追加的付款金额和（或）延长的工期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并附必要的记录和证明材料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（3）索赔事件具有持续影响的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承包人应按合理时间间隔继续递交延续索赔通知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说明持续影响的实际情况和记录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列出累计的追加付款金额和（或）工期延长天数</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（4）在索赔事件影响结束后28天内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承包人应向监理人递交最终索赔报告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说明最终要求索赔的追加付款金额和（或）延长的工期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并附必要的记录和证明材料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02" w:name="_Toc26065"/>
      <w:bookmarkStart w:id="303" w:name="_Toc11899"/>
      <w:r>
        <w:rPr>
          <w:rFonts w:hint="eastAsia" w:ascii="宋体" w:hAnsi="宋体" w:eastAsia="宋体" w:cs="宋体"/>
          <w:spacing w:val="14"/>
          <w:sz w:val="24"/>
          <w:szCs w:val="24"/>
        </w:rPr>
        <w:t>19.2 对承包人索赔的处理</w:t>
      </w:r>
      <w:bookmarkEnd w:id="302"/>
      <w:bookmarkEnd w:id="30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对承包人索赔的处理如下：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（1）监理人应在收到索赔报告后14天内完成审查并报送发包人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监理人对索赔报告存在异议的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有权要求承包人提交全部原始记录副本</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（2）发包人应在监理人收到索赔报告或有关索赔的进一步证明材料后的28天内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由监理人向承包人出具经发包人签认的索赔处理结果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发包人逾期答复的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则视为认可承包人的索赔要求</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（3）承包人接受索赔处理结果的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索赔款项在当期进度款中进行支付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承包人不接受索赔处理结果的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按照第20条〔争议解决〕约定处理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04" w:name="_Toc8434"/>
      <w:bookmarkStart w:id="305" w:name="_Toc11182"/>
      <w:r>
        <w:rPr>
          <w:rFonts w:hint="eastAsia" w:ascii="宋体" w:hAnsi="宋体" w:eastAsia="宋体" w:cs="宋体"/>
          <w:spacing w:val="14"/>
          <w:sz w:val="24"/>
          <w:szCs w:val="24"/>
        </w:rPr>
        <w:t>19.3发包人的索赔</w:t>
      </w:r>
      <w:bookmarkEnd w:id="304"/>
      <w:bookmarkEnd w:id="30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根据合同约定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发包人认为有权得到赔付金额和（或）延长缺陷责任期的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监理人应向承包人发出通知并附有详细的证明</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发包人应在知道或应当知道索赔事件发生后28天内通过监理人向承包人提出索赔意向通知书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发包人未在前述28天内发出索赔意向通知书的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丧失要求赔付金额和（或）延长缺陷责任期的权利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发包人应在发出索赔意向通知书后28天内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通过监理人向承包人正式递交索赔报告</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06" w:name="_Toc7369"/>
      <w:bookmarkStart w:id="307" w:name="_Toc32550"/>
      <w:r>
        <w:rPr>
          <w:rFonts w:hint="eastAsia" w:ascii="宋体" w:hAnsi="宋体" w:eastAsia="宋体" w:cs="宋体"/>
          <w:spacing w:val="14"/>
          <w:sz w:val="24"/>
          <w:szCs w:val="24"/>
        </w:rPr>
        <w:t>19.4 对发包人索赔的处理</w:t>
      </w:r>
      <w:bookmarkEnd w:id="306"/>
      <w:bookmarkEnd w:id="30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对发包人索赔的处理如下：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（1）承包人收到发包人提交的索赔报告后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应及时审查索赔报告的内容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查验发包人证明材料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（2）承包人应在收到索赔报告或有关索赔的进一步证明材料后28天内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将索赔处理结果答复发包人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如果承包人未在上述期限内作出答复的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则视为对发包人索赔要求的认可</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（3）承包人接受索赔处理结果的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发包人可从应支付给承包人的合同价款中扣除赔付的金额或延长缺陷责任期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发包人不接受索赔处理结果的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按第20条〔争议解决〕约定处理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08" w:name="_Toc21889"/>
      <w:bookmarkStart w:id="309" w:name="_Toc706"/>
      <w:r>
        <w:rPr>
          <w:rFonts w:hint="eastAsia" w:ascii="宋体" w:hAnsi="宋体" w:eastAsia="宋体" w:cs="宋体"/>
          <w:spacing w:val="14"/>
          <w:sz w:val="24"/>
          <w:szCs w:val="24"/>
        </w:rPr>
        <w:t>19.5 提出索赔的期限</w:t>
      </w:r>
      <w:bookmarkEnd w:id="308"/>
      <w:bookmarkEnd w:id="30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（1）承包人按第14.2款〔竣工结算审核〕约定接收竣工付款证书后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应被视为已无权再提出在工程接收证书颁发前所发生的任何索赔</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（2）承包人按第14.4款〔最终结清〕提交的最终结清申请单中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只限于提出工程接收证书颁发后发生的索赔</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提出索赔的期限自接受最终结清证书时终止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310" w:name="_Toc2762"/>
      <w:bookmarkStart w:id="311" w:name="_Toc24666"/>
      <w:r>
        <w:rPr>
          <w:rFonts w:hint="eastAsia" w:ascii="宋体" w:hAnsi="宋体" w:eastAsia="宋体" w:cs="宋体"/>
          <w:spacing w:val="14"/>
          <w:sz w:val="24"/>
          <w:szCs w:val="24"/>
        </w:rPr>
        <w:t>20. 争议解决</w:t>
      </w:r>
      <w:bookmarkEnd w:id="310"/>
      <w:bookmarkEnd w:id="31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12" w:name="_Toc21892"/>
      <w:bookmarkStart w:id="313" w:name="_Toc12680"/>
      <w:r>
        <w:rPr>
          <w:rFonts w:hint="eastAsia" w:ascii="宋体" w:hAnsi="宋体" w:eastAsia="宋体" w:cs="宋体"/>
          <w:spacing w:val="14"/>
          <w:sz w:val="24"/>
          <w:szCs w:val="24"/>
        </w:rPr>
        <w:t>20.1和解</w:t>
      </w:r>
      <w:bookmarkEnd w:id="312"/>
      <w:bookmarkEnd w:id="31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合同当事人可以就争议自行和解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自行和解达成协议的经双方签字并盖章后作为合同补充文件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双方均应遵照执行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14" w:name="_Toc31421"/>
      <w:bookmarkStart w:id="315" w:name="_Toc13974"/>
      <w:r>
        <w:rPr>
          <w:rFonts w:hint="eastAsia" w:ascii="宋体" w:hAnsi="宋体" w:eastAsia="宋体" w:cs="宋体"/>
          <w:spacing w:val="14"/>
          <w:sz w:val="24"/>
          <w:szCs w:val="24"/>
        </w:rPr>
        <w:t>20.2调解</w:t>
      </w:r>
      <w:bookmarkEnd w:id="314"/>
      <w:bookmarkEnd w:id="31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合同当事人可以就争议请求建设行政主管部门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行业协会或其他第三方进行调解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调解达成协议的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经双方签字并盖章后作为合同补充文件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双方均应遵照执行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16" w:name="_Toc3226"/>
      <w:bookmarkStart w:id="317" w:name="_Toc14595"/>
      <w:r>
        <w:rPr>
          <w:rFonts w:hint="eastAsia" w:ascii="宋体" w:hAnsi="宋体" w:eastAsia="宋体" w:cs="宋体"/>
          <w:spacing w:val="14"/>
          <w:sz w:val="24"/>
          <w:szCs w:val="24"/>
        </w:rPr>
        <w:t>20.3争议评审</w:t>
      </w:r>
      <w:bookmarkEnd w:id="316"/>
      <w:bookmarkEnd w:id="31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合同当事人在专用合同条款中约定采取争议评审方式解决争议以及评审规则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 xml:space="preserve">并按下列约定执行：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20.3.1 争议评审小组的确定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合同当事人可以共同选择一名或三名争议评审员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组成争议评审小组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合同当事人应当自合同签订后28天内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或者争议发生后14天内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选定争议评审员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选择一名争议评审员的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由合同当事人共同确定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选择三名争议评审员的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各自选定一名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第三名成员为首席争议评审员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由合同当事人共同确定或由合同当事人委托已选定的争议评审员共同确定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或由专用合同条款约定的评审机构指定第三名首席争议评审员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 xml:space="preserve">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评审员报酬由发包人和承包人各承担一半</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20.3.2 争议评审小组的决定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合同当事人可在任何时间将与合同有关的任何争议共同提请争议评审小组进行评审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争议评审小组应秉持客观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公正原则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充分听取合同当事人的意见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依据相关法律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规范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标准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案例经验及商业惯例等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自收到争议评审申请报告后14天内作出书面决定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并说明理由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合同当事人可以在专用合同条款中对本项事项另行约定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20.3.3 争议评审小组决定的效力</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争议评审小组作出的书面决定经合同当事人签字确认后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对双方具有约束力</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双方应遵照执行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任何一方当事人不接受争议评审小组决定或不履行争议评审小组决定的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双方可选择采用其他争议解决方式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18" w:name="_Toc31222"/>
      <w:bookmarkStart w:id="319" w:name="_Toc11792"/>
      <w:r>
        <w:rPr>
          <w:rFonts w:hint="eastAsia" w:ascii="宋体" w:hAnsi="宋体" w:eastAsia="宋体" w:cs="宋体"/>
          <w:spacing w:val="14"/>
          <w:sz w:val="24"/>
          <w:szCs w:val="24"/>
        </w:rPr>
        <w:t>20.4仲裁或诉讼</w:t>
      </w:r>
      <w:bookmarkEnd w:id="318"/>
      <w:bookmarkEnd w:id="31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因合同及合同有关事项产生的争议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合同当事人可以在专用合同条款中约定以下一种方式解决争议：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（1）向约定的仲裁委员会申请仲裁</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（2）向有管辖权的人民法院起诉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20" w:name="_Toc10109"/>
      <w:bookmarkStart w:id="321" w:name="_Toc29080"/>
      <w:r>
        <w:rPr>
          <w:rFonts w:hint="eastAsia" w:ascii="宋体" w:hAnsi="宋体" w:eastAsia="宋体" w:cs="宋体"/>
          <w:spacing w:val="14"/>
          <w:sz w:val="24"/>
          <w:szCs w:val="24"/>
        </w:rPr>
        <w:t>20.5争议解决条款效力</w:t>
      </w:r>
      <w:bookmarkEnd w:id="320"/>
      <w:bookmarkEnd w:id="32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合同有关争议解决的条款独立存在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合同的变更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解除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终止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无效或者被撤销均不影响其效力</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0"/>
        <w:rPr>
          <w:rFonts w:hint="eastAsia" w:ascii="宋体" w:hAnsi="宋体" w:eastAsia="宋体" w:cs="宋体"/>
          <w:spacing w:val="14"/>
          <w:sz w:val="24"/>
          <w:szCs w:val="24"/>
        </w:rPr>
      </w:pPr>
      <w:bookmarkStart w:id="322" w:name="_Toc14322"/>
      <w:bookmarkStart w:id="323" w:name="_Toc25271"/>
      <w:r>
        <w:rPr>
          <w:rFonts w:hint="eastAsia" w:ascii="宋体" w:hAnsi="宋体" w:eastAsia="宋体" w:cs="宋体"/>
          <w:spacing w:val="14"/>
          <w:sz w:val="24"/>
          <w:szCs w:val="24"/>
        </w:rPr>
        <w:t>第三部分 专用合同条款</w:t>
      </w:r>
      <w:bookmarkEnd w:id="322"/>
      <w:bookmarkEnd w:id="32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324" w:name="_Toc26316"/>
      <w:bookmarkStart w:id="325" w:name="_Toc22531"/>
      <w:r>
        <w:rPr>
          <w:rFonts w:hint="eastAsia" w:ascii="宋体" w:hAnsi="宋体" w:eastAsia="宋体" w:cs="宋体"/>
          <w:spacing w:val="14"/>
          <w:sz w:val="24"/>
          <w:szCs w:val="24"/>
        </w:rPr>
        <w:t>1. 一般约定</w:t>
      </w:r>
      <w:bookmarkEnd w:id="324"/>
      <w:bookmarkEnd w:id="32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26" w:name="_Toc30129"/>
      <w:bookmarkStart w:id="327" w:name="_Toc27815"/>
      <w:r>
        <w:rPr>
          <w:rFonts w:hint="eastAsia" w:ascii="宋体" w:hAnsi="宋体" w:eastAsia="宋体" w:cs="宋体"/>
          <w:spacing w:val="14"/>
          <w:sz w:val="24"/>
          <w:szCs w:val="24"/>
        </w:rPr>
        <w:t>1.1 词语定义</w:t>
      </w:r>
      <w:bookmarkEnd w:id="326"/>
      <w:bookmarkEnd w:id="32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1.1.1 合同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第1.1.1.6 目细化为：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技术规范：指本合同所约定的技术标准和要求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是合同文件的组成部分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通用合同条款中“技术标准和要求”一词具有相同含义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第1.1.1.8 目细化为：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已标价工程量清单：指构成合同文件组成部分的已标明价格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经算术性错误修正及其他错误修正（如有）且承包人已确认的最终的工程量清单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包括工程量清单说明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投标报价说明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计日工说明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其他说明及工程量清单各项表格（工程量清单表 5.1～表 5.5）</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本项补充第 1.1.1.10 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1.1.1.10 补遗书：指发出招标文件之后由招标人向已取得招标文件的投标人发出的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编号的对招标文件所作的澄清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修改书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1.1.2 合同当事人和人员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本项补充第 1.1.2.8 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1.1.2.8 承包人项目总工：指由承包人书面委派常驻现场负责管理本合同工程的总工程师或技术总负责人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1.1.3 工程和设备</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1.1.3.4 目细化为：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单位工程：指在建设项目中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根据签订的合同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具有独立施工条件的工程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1.1.3.10 目细化为：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永久占地：指为实施本合同工程而需要的一切永久占用的土地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包括公路两侧路权范围内的用地</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1.1.3.11 目细化为：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临时占地：指为实施本合同工程而需要的一切临时占用的土地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包括施工所用的临时支线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便道</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便桥和现场的临时出入通道</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以及生产（办公）</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生活等临时设施用地等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本项补充第 1.1.3.12 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第 1.1.3.13 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1.1.3.12 分部工程：指在单位工程中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按结构部位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路段长度及施工特点或施工任务划分的若干个工程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1.1.3.13 分项工程：指在分部工程中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按不同的施工方法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工序及路段长度等划分的若干个工程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1.1.6 其他</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本项补充第 1.1.6.2 目～第 1.1.6.9 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1.1.6.2 竣工验收：指《公路工程竣（交）工验收办法》中的竣工验收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通用合同条款中“国家验收”一词具有相同含义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1.1.6.3 交工：指《公路工程竣（交）工验收办法》中的交工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通用合同条款中“竣工”一词具有相同含义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1.1.6.4 交工验收：指《公路工程竣（交）工验收办法》中的交工验收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通用合同条款中“竣工验收”一词具有相同含义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1.1.6.5 交工验收证书：指《公路工程竣（交）工验收办法》中的交工验收证书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通用合同条款中“工程接收证书”一词具有相同含义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1.1.6.6 转包：指承包人违反法律和不履行合同规定的责任和义务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将中标工程全部委托或以专业分包的名义将中标工程肢解后全部委托给其他施工企业施工的行为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1.1.6.7 专业分包：指承包人与具有相应资格的施工企业签订专业分包合同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由分包人承担承包人委托的分部工程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分项工程或适合专业化队伍施工的其他工程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整体结算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并能独立控制工程质量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施工进度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材料采购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生产安全的施工行为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1.1.6.8 劳务分包：指承包人与具有施工劳务资质的劳务企业签订劳务分包合同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由劳务企业提供劳务人员及机具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由承包人统一组织施工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统一控制工程质量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施工进度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材料采购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生产安全的施工行为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1.1.6.9 雇用民工：指承包人与具有相应劳动能力的自然人签订劳动合同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由承包人统一组织管理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从事分项工程施工或配套工程施工的行为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28" w:name="_Toc9638"/>
      <w:bookmarkStart w:id="329" w:name="_Toc585"/>
      <w:r>
        <w:rPr>
          <w:rFonts w:hint="eastAsia" w:ascii="宋体" w:hAnsi="宋体" w:eastAsia="宋体" w:cs="宋体"/>
          <w:spacing w:val="14"/>
          <w:sz w:val="24"/>
          <w:szCs w:val="24"/>
        </w:rPr>
        <w:t>1.4 合同文件的优先顺序</w:t>
      </w:r>
      <w:bookmarkEnd w:id="328"/>
      <w:bookmarkEnd w:id="32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本款约定为：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组成合同的各项文件应互相解释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互为说明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除项目专用合同条款另有约定外</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解释合同文件的优先顺序如下：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（1）合同协议书及各种合同附件（含评标期间和合同谈判过程中的澄清文件和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补充资料）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（2）中标通知书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（3）投标函及投标函附录</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（4）项目专用合同条款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（5）公路工程专用合同条款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（6）通用合同条款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（7）工程量清单计量规则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（8）技术规范</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（9）图纸</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（10）已标价工程量清单</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（11）承包人有关人员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设备投入的承诺及投标文件中的施工组织设计</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（12）其他合同文件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30" w:name="_Toc20633"/>
      <w:bookmarkStart w:id="331" w:name="_Toc21910"/>
      <w:r>
        <w:rPr>
          <w:rFonts w:hint="eastAsia" w:ascii="宋体" w:hAnsi="宋体" w:eastAsia="宋体" w:cs="宋体"/>
          <w:spacing w:val="14"/>
          <w:sz w:val="24"/>
          <w:szCs w:val="24"/>
        </w:rPr>
        <w:t>1.5 合同协议书</w:t>
      </w:r>
      <w:bookmarkEnd w:id="330"/>
      <w:bookmarkEnd w:id="33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制备本合同文件的费用由发包人承担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在合同协议书签订并生效之前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投标函和中标通知书将对双方具有约束力</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32" w:name="_Toc27019"/>
      <w:bookmarkStart w:id="333" w:name="_Toc13811"/>
      <w:r>
        <w:rPr>
          <w:rFonts w:hint="eastAsia" w:ascii="宋体" w:hAnsi="宋体" w:eastAsia="宋体" w:cs="宋体"/>
          <w:spacing w:val="14"/>
          <w:sz w:val="24"/>
          <w:szCs w:val="24"/>
        </w:rPr>
        <w:t>1.6 图纸和承包人文件</w:t>
      </w:r>
      <w:bookmarkEnd w:id="332"/>
      <w:bookmarkEnd w:id="33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1.6.1 图纸的提供</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监理人应在发出中标通知书之后 42 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向承包人免费提供由发包人或其委托的设计单位设计的施工图纸</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技术规范和其他技术资料 2 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并向承包人进行技术交底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承包人需要更多份数时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应自费复制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由于发包人未按时提供图纸造成工期延误的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按第 11.3 款的约定办理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1.6.2 承包人提供的文件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有下列情形之一的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承包人应免费向监理人提交相关部分工程的施工图纸 3 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并附必要的计算书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技术资料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或施工工艺图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设备安装图及安装设备的使用和维护手册各 2 份供监理人批准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（1）为使第 1.6.1 项所述的施工图纸适合于经施工测量后的纵</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横断面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（2）为使第 1.6.1 项所述的施工图纸适合于现场具体地形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（3）为使第 1.6.1 项所述的施工图纸适合于因尺寸与位置变化而引起局部变更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（4）由于合同要求与施工需要</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此类图纸应按监理人规定的格式和图幅绘制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监理人在收到由承包人绘制的上述工程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工艺图纸</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计算书和有关技术资料后 14 天内应予批准或提出修改要求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承包人应按监理人提出的要求作出修改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重新向监理人提交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监理人应在 7 天内批准或提出进一步的修改意见</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1.6.4 图纸的错误</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当承包人在查阅合同文件或在本合同工程实施过程中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发现有关的工程设计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技术规范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图纸或其他资料中的任何差错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遗漏或缺陷后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应及时通知监理人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监理人接到该通知后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应立即就此作出决定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并通知承包人和发包人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34" w:name="_Toc12931"/>
      <w:bookmarkStart w:id="335" w:name="_Toc387"/>
      <w:r>
        <w:rPr>
          <w:rFonts w:hint="eastAsia" w:ascii="宋体" w:hAnsi="宋体" w:eastAsia="宋体" w:cs="宋体"/>
          <w:spacing w:val="14"/>
          <w:sz w:val="24"/>
          <w:szCs w:val="24"/>
        </w:rPr>
        <w:t>1.9 严禁贿赂</w:t>
      </w:r>
      <w:bookmarkEnd w:id="334"/>
      <w:bookmarkEnd w:id="33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在合同执行过程中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发包人和承包人应严格履行《廉政合同》约定的双方在廉政建设方面的权利和义务以及应承担的违约责任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承包人如果用行贿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送礼或其他不正当手段企图影响或已经影响了发包人或监理人的行为和（或）欲获得或已获得超出合同规定以外的额外费用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则发包人应按有关法纪严肃处理当事人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且承包人应对其上述行为造成的工程损害</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发包人的经济损失等承担一切责任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并予赔偿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情节严重者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发包人有权终止承包人在本合同项下的承包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336" w:name="_Toc32227"/>
      <w:bookmarkStart w:id="337" w:name="_Toc24907"/>
      <w:r>
        <w:rPr>
          <w:rFonts w:hint="eastAsia" w:ascii="宋体" w:hAnsi="宋体" w:eastAsia="宋体" w:cs="宋体"/>
          <w:spacing w:val="14"/>
          <w:sz w:val="24"/>
          <w:szCs w:val="24"/>
        </w:rPr>
        <w:t>2. 发包人义务</w:t>
      </w:r>
      <w:bookmarkEnd w:id="336"/>
      <w:bookmarkEnd w:id="33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38" w:name="_Toc17366"/>
      <w:bookmarkStart w:id="339" w:name="_Toc8501"/>
      <w:r>
        <w:rPr>
          <w:rFonts w:hint="eastAsia" w:ascii="宋体" w:hAnsi="宋体" w:eastAsia="宋体" w:cs="宋体"/>
          <w:spacing w:val="14"/>
          <w:sz w:val="24"/>
          <w:szCs w:val="24"/>
        </w:rPr>
        <w:t>2.3 提供施工场地</w:t>
      </w:r>
      <w:bookmarkEnd w:id="338"/>
      <w:bookmarkEnd w:id="33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发包人负责办理永久占地的征用及与之有关的拆迁赔偿手续并承担相关费用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承包人在按第 10 条规定提交施工进度计划的同时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应向监理人提交一份按施工先后次序所需的永久占地计划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监理人应在收到此计划后的 14 天内审核并转报发包人核备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发包人应在监理人发出本工程或分部工程开工通知之前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对承包人开工所需的永久占地办妥征用手续和相关拆迁赔偿手续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通知承包人使用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以使承包人能够及时开工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此后按承包人提交并经监理人同意的合同进度计划的安排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分期（也可以一次）将施工所需的其余永久占地办妥征用以及拆迁赔偿手续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通知承包人使用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以使承包人能够连续不间断地施工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由于承包人施工考虑不周或措施不当等原因而造成的超计划占地或拆迁等所发生的征用和赔偿费用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由于发包人未能按照本项规定办妥永久占地征用手续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影响承包人及时使用永久占地造成的费用增加和（或）工期延误应由发包人承担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由于承包人未能按照本项规定提交占地计划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影响发包人办理永久占地征用手续造成的费用增加和（或）工期延误由承包人承担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340" w:name="_Toc26872"/>
      <w:bookmarkStart w:id="341" w:name="_Toc4001"/>
      <w:r>
        <w:rPr>
          <w:rFonts w:hint="eastAsia" w:ascii="宋体" w:hAnsi="宋体" w:eastAsia="宋体" w:cs="宋体"/>
          <w:spacing w:val="14"/>
          <w:sz w:val="24"/>
          <w:szCs w:val="24"/>
        </w:rPr>
        <w:t>3. 监理人</w:t>
      </w:r>
      <w:bookmarkEnd w:id="340"/>
      <w:bookmarkEnd w:id="34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42" w:name="_Toc5651"/>
      <w:bookmarkStart w:id="343" w:name="_Toc1810"/>
      <w:r>
        <w:rPr>
          <w:rFonts w:hint="eastAsia" w:ascii="宋体" w:hAnsi="宋体" w:eastAsia="宋体" w:cs="宋体"/>
          <w:spacing w:val="14"/>
          <w:sz w:val="24"/>
          <w:szCs w:val="24"/>
        </w:rPr>
        <w:t>3.1 监理人的职责和权力</w:t>
      </w:r>
      <w:bookmarkEnd w:id="342"/>
      <w:bookmarkEnd w:id="34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3.1.1 项补充：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监理人在行使下列权力前需要经发包人事先批准：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（1）根据第 4.3 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同意分包本工程的某些非关键性工作或者适合专业化队伍施工的专项工程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（2）确定第 4.11 款下产生的费用增加额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（3）根据第 11.1 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第 12.3 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第 12.4 款发布开工通知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暂停施工指示或复工通知</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（4）决定第 11.3 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第 11.4 款下的工期延长</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（5）审查批准技术方案或设计的变更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（6）根据第 15.3 款发出的变更指示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其单项工程变更或累计变更涉及的金额超过了项目专用合同条款数据表中规定的金额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（7）确定第 15.4 款下变更工作的单价</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（8）按照第 15.6 款决定有关暂列金额的使用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（9）确定第 15.8 款下的暂估价金额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（10）确定第 23.1 款下的索赔额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如果发生紧急情况</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监理人认为将造成人员伤亡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或危及本工程或邻近的财产需立即采取行动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监理人有权在未征得发包人的批准的情况下发布处理紧急情况所必需的指令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承包人应予执行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由此造成的费用增加由监理人按第 3.5 款商定或确定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44" w:name="_Toc27885"/>
      <w:bookmarkStart w:id="345" w:name="_Toc14608"/>
      <w:r>
        <w:rPr>
          <w:rFonts w:hint="eastAsia" w:ascii="宋体" w:hAnsi="宋体" w:eastAsia="宋体" w:cs="宋体"/>
          <w:spacing w:val="14"/>
          <w:sz w:val="24"/>
          <w:szCs w:val="24"/>
        </w:rPr>
        <w:t>3.5 商定或确定</w:t>
      </w:r>
      <w:bookmarkEnd w:id="344"/>
      <w:bookmarkEnd w:id="34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3.5.1 项补充：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如果这项商定或确定导致费用增加和（或）工期延长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或者涉及确定变更工程的价格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则总监理工程师在发出通知前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应征得发包人的同意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346" w:name="_Toc211"/>
      <w:bookmarkStart w:id="347" w:name="_Toc27342"/>
      <w:r>
        <w:rPr>
          <w:rFonts w:hint="eastAsia" w:ascii="宋体" w:hAnsi="宋体" w:eastAsia="宋体" w:cs="宋体"/>
          <w:spacing w:val="14"/>
          <w:sz w:val="24"/>
          <w:szCs w:val="24"/>
        </w:rPr>
        <w:t>4. 承包人</w:t>
      </w:r>
      <w:bookmarkEnd w:id="346"/>
      <w:bookmarkEnd w:id="34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48" w:name="_Toc8942"/>
      <w:bookmarkStart w:id="349" w:name="_Toc3172"/>
      <w:r>
        <w:rPr>
          <w:rFonts w:hint="eastAsia" w:ascii="宋体" w:hAnsi="宋体" w:eastAsia="宋体" w:cs="宋体"/>
          <w:spacing w:val="14"/>
          <w:sz w:val="24"/>
          <w:szCs w:val="24"/>
        </w:rPr>
        <w:t>4.1 承包人的一般义务</w:t>
      </w:r>
      <w:bookmarkEnd w:id="348"/>
      <w:bookmarkEnd w:id="34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4.1.9 工程的维护和照管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（1）交工验收证书颁发前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承包人应负责照管和维护工程及将用于或安装在本工程中的材料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交工验收证书颁发时尚有部分未交工工程的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承包人还应负责该未交工工程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设备的照管和维护工作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直至交工后移交给发包人为止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（2）在承包人负责照管与维护期间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如果本工程或材料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设备等发生损失或损害</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除不可抗力原因之外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承包人均应自费弥补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并达到合同要求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承包人还应对按第 19 条规定而实施作业过程中由承包人造成的对工程的任何损失或损害负责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4.1.10 其他义务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（1）临时占地由承包人向当地政府土地管理部门申请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并办理租用手续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承包人按有关规定直接支付其费用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发包人对此将予以协调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临时占地范围包括承包人驻地的办公室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食堂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宿舍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道路和机械设备停放场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材料堆放场地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弃土场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预制场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拌和场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仓库</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进场临时道路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临时便道</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便桥等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承包人应在“临时占地计划表”范围内按实际需要与先后次序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提出具体计划报监理人同意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并报发包人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临时占地的面积和使用期应满足工程需要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费用包括临时占地数量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时间及因此而发生的协调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租用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复耕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地面附着物（电力</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电信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房屋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坟墓除外）的拆迁补偿等相关费用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除项目专用合同条款另有约定外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临时占地的租地费用实行总额包干</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列入工程量清单第 100 章中由承包人按总额报价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临时占地退还前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承包人应自费恢复到临时占地使用前的状况</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如因承包人撤离后未按要求对临时占地进行恢复或虽进行了恢复但未达到使用标准的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将由发包人委托第三方对其恢复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所发生的费用将从应付给承包人的任何款项内扣除</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（2）除项目专用合同条款另有约定外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承包人应承担并支付为获得本合同工程所需的石料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砾石</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黏土或其他当地材料等所发生的料场使用费及其他开支或补偿费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发包人应尽可能协助承包人办理料场租用手续及解决使用过程中的有关问题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（3）承包人应严格遵守国家有关解决拖欠工程款和民工工资的法律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法规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及时支付工程中的材料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设备货款及民工工资等费用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承包人不得以任何借口拖欠材料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设备货款及民工工资等费用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如果出现此种现象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发包人有权代为支付其拖欠的材料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设备货款及民工工资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并从应付给承包人的工程款中扣除相应款项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对恶意拖欠和拒不按计划支付的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作为不良记录纳入公路建设市场信用信息管理系统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承包人的项目经理部是民工工资支付行为的主体</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承包人的项目经理是民工工资支付的责任人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项目经理部要建立全体民工花名册和工资支付表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确保将工资直接发放给民工本人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或委托银行发放民工工资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严禁发放给“包工头”或其他不具备用工主体资格的组织和个人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工资支付表应如实记录支付单位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支付时间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支付对象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支付数额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支付对象的身份证号和签字等信息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民工花名册和工资支付表应报监理人备查</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（4）承包人应分解工程价款中的人工费用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在工程项目所在地银行开设民工工资（劳务费）专用账户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专项用于支付民工工资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发包人应按照本合同约定的比例或承包人提供的人工费用数额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将应付工程款中的人工费单独拨付到承包人开设的民工工资（劳务费）专用账户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民工工资（劳务费）专用账户应向人力资源社会保障部门和交通运输主管部门备案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并委托开户银行负责日常监管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确保专款专用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开户银行发现账户资金不足</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被挪用等情况</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应及时向人力资源社会保障部门和交通运输主管部门报告</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（5）承包人应严格执行招标文件技术规范对施工标准化提出的具体要求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结合本单位施工能力和技术优势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积极采取有利于标准化施工的组织方式和工艺流程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加强工地建设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工艺控制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人员管理和内业资料管理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强化对施工一线操作人员的培训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改善职工生产生活条件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与此相关的费用承包人应列入工程量清单第 100 章 中</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（6）承包人应履行项目专用合同条款约定的其他义务</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50" w:name="_Toc22690"/>
      <w:bookmarkStart w:id="351" w:name="_Toc11872"/>
      <w:r>
        <w:rPr>
          <w:rFonts w:hint="eastAsia" w:ascii="宋体" w:hAnsi="宋体" w:eastAsia="宋体" w:cs="宋体"/>
          <w:spacing w:val="14"/>
          <w:sz w:val="24"/>
          <w:szCs w:val="24"/>
        </w:rPr>
        <w:t>4.2 履约保证金</w:t>
      </w:r>
      <w:bookmarkEnd w:id="350"/>
      <w:bookmarkEnd w:id="35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承包人应保证其履约保证金在发包人签发交工验收证书且承包人按照合同约定缴纳质量保证金前一直有效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发包人应在收到承包人缴纳的质量保证金后 28 天内将履约保证金退还给承包人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承包人拒绝按照本合同约定缴纳质量保证金的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发包人有权从交工付款证书中扣留相应金额作为质量保证金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或者直接将履约保证金金额用于保证承包人在缺陷责任期内履行缺陷修复义务</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52" w:name="_Toc811"/>
      <w:bookmarkStart w:id="353" w:name="_Toc29348"/>
      <w:r>
        <w:rPr>
          <w:rFonts w:hint="eastAsia" w:ascii="宋体" w:hAnsi="宋体" w:eastAsia="宋体" w:cs="宋体"/>
          <w:spacing w:val="14"/>
          <w:sz w:val="24"/>
          <w:szCs w:val="24"/>
        </w:rPr>
        <w:t>4.3 分包</w:t>
      </w:r>
      <w:bookmarkEnd w:id="352"/>
      <w:bookmarkEnd w:id="35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4.3.2 项～第 4.3.4 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4.3.2 承包人不得将工程关键性工作分包给第三人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经发包人同意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承包人可将工程的其他部分或工作分包给第三人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分包包括专业分包和劳务分包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4.3.3 专业分包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在工程施工过程中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承包人进行专业分包必须遵守以下规定：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（1）允许专业分包的工程范围仅限于非关键性工程或者适合专业化队伍施工的专项工程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未列入投标文件的专项工程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承包人不得分包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但因工程变更增加了有特殊性技术要求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特殊工艺或者涉及专利保护等的专项工程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且按规定无须再进行招标的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由承包人提出书面申请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经发包人书面同意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可以分包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（2）专业分包人的资格能力（含安全生产能力）应与其分包工程的标准和规模相适应</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且应当具备如下条件：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a. 具有经工商登记的法人资格</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b. 具有从事类似工程经验的管理与技术人员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c. 具有（自有或租赁）分包工程所需的施工设备</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承包人应向监理人提交专业分包人的资格能力证明材料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经监理人审查并报发包人批准后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可以将相应专业工程分包给该专业分包人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（3）专业分包工程不得再次分包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（4）承包人和专业分包人应当按照交通运输主管部门制定的统一格式依法签订专业分包合同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并履行合同约定的义务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专业分包合同必须遵循承包合同的各项原则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满足承包合同中的质量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进度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环保以及其他技术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经济等要求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专业分包合同必须明确约定工程款支付条款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结算方式以及保证按期支付的相应措施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确保工程款的支付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承包人应在工程实施前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将经监理人审查同意后的分包合同报发包人备案</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（5）专业分包人应当设立项目管理机构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对所分包工程的施工活动实施管理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项目管理机构应当具有与分包工程的规模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技术复杂程度相适应的技术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经济管理人员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其中项目负责人和技术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财务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计量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质量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安全等主要管理人员必须是专业分包人本单位人员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（6）承包人应当建立健全相关分包管理制度和台账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对专业分包工程的质量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进度和专业分包人的行为等实施全过程管理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按照合同约定对专业分包工程的实施向发包人负责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并承担赔偿责任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专业分包合同不免除承包合同中规定的承包人的责任或者义务</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（7）专业分包人应当依据专业分包合同的约定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组织分包工程的施工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并对分包工程的质量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安全和进度等实施有效控制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专业分包人对其分包的工程向承包人负责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并就所分包的工程向发包人承担连带责任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（8）承包人对施工现场安全负总责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并对专业分包人的安全生产进行培训和管理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专业分包人应将其专业分包工程的施工组织设计和施工安全方案报承包人备案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专业分包人对分包施工现场安全负责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发现事故隐患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应及时处理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违反上述规定之一者属违规分包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4.3.4 劳务分包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在工程施工过程中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承包人进行劳务分包必须遵守以下规定：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（1）劳务分包人应具有施工劳务资质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（2）劳务分包应当依法签订劳务分包合同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劳务分包合同必须由承包人的法定代表人或其委托代理人与劳务分包人直接签订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不得由他人代签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承包人的项目经理部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项目经理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施工班组等不具备用工主体资格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不能与劳务分包人签订劳务分包合同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承包人应向发包人和监理人提交劳务分包合同副本并报项目所在地劳动保障部门备案</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（3）承包人雇用的劳务作业应加入到承包人的施工班组统一管理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有关施工质量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施工安全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施工进度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环境保护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技术方案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试验检测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材料保管与供应</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机械设备等都必须由承包人管理与调配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不得以包代管</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（4）承包人应当对劳务分包人员进行安全培训和管理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劳务分包人不得将其分包的劳务作业再次分包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违反上述规定之一者属违规分包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本款补充第 4.3.6 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第 4.3.7 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4.3.6 发包人对承包人与分包人之间的法律与经济纠纷不承担任何责任和义务</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4.3.7 本项目的各项分包工作均应遵守《公路工程施工分包管理办法》的有关规定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54" w:name="_Toc404"/>
      <w:bookmarkStart w:id="355" w:name="_Toc11228"/>
      <w:r>
        <w:rPr>
          <w:rFonts w:hint="eastAsia" w:ascii="宋体" w:hAnsi="宋体" w:eastAsia="宋体" w:cs="宋体"/>
          <w:spacing w:val="14"/>
          <w:sz w:val="24"/>
          <w:szCs w:val="24"/>
        </w:rPr>
        <w:t>4.4 联合体</w:t>
      </w:r>
      <w:bookmarkEnd w:id="354"/>
      <w:bookmarkEnd w:id="35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本款补充第 4.4.4 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4.4.4 未经发包人事先同意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联合体的组成与结构不得变动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56" w:name="_Toc8216"/>
      <w:bookmarkStart w:id="357" w:name="_Toc10619"/>
      <w:r>
        <w:rPr>
          <w:rFonts w:hint="eastAsia" w:ascii="宋体" w:hAnsi="宋体" w:eastAsia="宋体" w:cs="宋体"/>
          <w:spacing w:val="14"/>
          <w:sz w:val="24"/>
          <w:szCs w:val="24"/>
        </w:rPr>
        <w:t>4.6 承包人人员的管理</w:t>
      </w:r>
      <w:bookmarkEnd w:id="356"/>
      <w:bookmarkEnd w:id="35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4.6.3 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承包人安排在施工场地的主要管理人员和技术骨干应与承包人承诺的名单一致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并保持相对稳定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未经监理人批准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上述人员不应无故不到位或被替换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若确实无法到位或需替换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需经监理人审核并报发包人批准后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用同等资质和经历的人员替换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本款补充第 4.6.5 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4.6.5 尽管承包人已按承诺派遣了上述各类人员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但若这些人员仍不能满足合同进度计划和（或）质量要求时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监理人有权要求承包人继续增派或雇用这类人员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并书面通知承包人和抄送发包人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承包人在接到上述通知后应立即执行监理人的上述指示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不得无故拖延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由此增加的费用和（或）工期延误由承包人承担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58" w:name="_Toc12504"/>
      <w:bookmarkStart w:id="359" w:name="_Toc3558"/>
      <w:r>
        <w:rPr>
          <w:rFonts w:hint="eastAsia" w:ascii="宋体" w:hAnsi="宋体" w:eastAsia="宋体" w:cs="宋体"/>
          <w:spacing w:val="14"/>
          <w:sz w:val="24"/>
          <w:szCs w:val="24"/>
        </w:rPr>
        <w:t>4.7 撤换承包人项目经理和其他人员</w:t>
      </w:r>
      <w:bookmarkEnd w:id="358"/>
      <w:bookmarkEnd w:id="35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承包人应对其项目经理和其他人员进行有效管理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监理人要求撤换不能胜任本职工作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行为不端或玩忽职守的承包人项目经理和其他人员的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承包人应予以撤换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同时委派经发包人与监理人同意的新的项目经理和其他人员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60" w:name="_Toc9833"/>
      <w:bookmarkStart w:id="361" w:name="_Toc9274"/>
      <w:r>
        <w:rPr>
          <w:rFonts w:hint="eastAsia" w:ascii="宋体" w:hAnsi="宋体" w:eastAsia="宋体" w:cs="宋体"/>
          <w:spacing w:val="14"/>
          <w:sz w:val="24"/>
          <w:szCs w:val="24"/>
        </w:rPr>
        <w:t>4.9 工程价款应专款专用</w:t>
      </w:r>
      <w:bookmarkEnd w:id="360"/>
      <w:bookmarkEnd w:id="36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发包人按合同约定支付给承包人的各项价款应专用于合同工程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承包人必须在发包人指定的银行开户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并与发包人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银行共同签订《工程资金监管协议》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接受发包人和银行对资金的监管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承包人应向发包人授权进行本合同工程开户银行工程资金的查询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发包人支付的工程进度款应为本工程的专款专用资金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不得转移或用于其他工程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发包人的期中支付款将转入该银行所设的专门账户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发包人及其派出机构有权不定期对承包人工程资金使用情况进行检查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发现问题及时责令承包人限期改正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否则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将终止月支付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直至承包人改正为止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62" w:name="_Toc13006"/>
      <w:bookmarkStart w:id="363" w:name="_Toc22932"/>
      <w:r>
        <w:rPr>
          <w:rFonts w:hint="eastAsia" w:ascii="宋体" w:hAnsi="宋体" w:eastAsia="宋体" w:cs="宋体"/>
          <w:spacing w:val="14"/>
          <w:sz w:val="24"/>
          <w:szCs w:val="24"/>
        </w:rPr>
        <w:t>4.10 承包人现场查勘</w:t>
      </w:r>
      <w:bookmarkEnd w:id="362"/>
      <w:bookmarkEnd w:id="36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4.10.1 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发包人提供的本合同工程的水文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地质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气象和料场分布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取土场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弃土场位置等资料均属于参考资料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并不构成合同文件的组成部分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承包人应对自己就上述资料的解释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推论和应用负责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发包人不对承包人据此作出的判断和决策承担任何责任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64" w:name="_Toc18227"/>
      <w:bookmarkStart w:id="365" w:name="_Toc22725"/>
      <w:r>
        <w:rPr>
          <w:rFonts w:hint="eastAsia" w:ascii="宋体" w:hAnsi="宋体" w:eastAsia="宋体" w:cs="宋体"/>
          <w:spacing w:val="14"/>
          <w:sz w:val="24"/>
          <w:szCs w:val="24"/>
        </w:rPr>
        <w:t>4.11 不利物质条件</w:t>
      </w:r>
      <w:bookmarkEnd w:id="364"/>
      <w:bookmarkEnd w:id="36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第4.11.2 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4.11.2 承包人遇到不可预见的不利物质条件时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应采取适应不利物质条件的合理措施继续施工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并及时通知监理人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监理人应当及时发出指示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指示构成变更的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按第 15 条约定办理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监理人没有发出指示的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承包人因采取合理措施而增加的费用和（或）工期延误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本款补充第 4.11.3 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4.11.3 可预见的不利物质条件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（1）对于项目专用合同条款中已经明确指出的不利物质条件无论承包人是否有其经历和经验均视为承包人在接受合同时已预见其影响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并已在签约合同价中计入因其影响而可能发生的一切费用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① 如果在招标阶段</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招标人在图纸中直接指定了取土场和弃土场位置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且作为投标人投标报价的依据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则招标人应在项目专用合同条款中对本项规定进行调整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（2）对于项目专用合同条款未明确指出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但是在不利物质条件发生之前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监理人已经指示承包人有可能发生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但承包人未能及时采取有效措施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而导致的损失和后果均由承包人承担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补充第 4.12 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第 4.13 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66" w:name="_Toc24226"/>
      <w:bookmarkStart w:id="367" w:name="_Toc24771"/>
      <w:r>
        <w:rPr>
          <w:rFonts w:hint="eastAsia" w:ascii="宋体" w:hAnsi="宋体" w:eastAsia="宋体" w:cs="宋体"/>
          <w:spacing w:val="14"/>
          <w:sz w:val="24"/>
          <w:szCs w:val="24"/>
        </w:rPr>
        <w:t>4.12 投标文件的完备性</w:t>
      </w:r>
      <w:bookmarkEnd w:id="366"/>
      <w:bookmarkEnd w:id="36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合同双方一致认为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承包人在递交投标文件前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对本合同工程的投标文件和已标价工程量清单中开列的单价和总额价已查明是正确的和完备的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投标的单价和总额价应已包括了合同中规定的承包人的全部义务（包括提供货物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服务的义务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并包括了暂列金额和暂估价范围内的额外工作的义务）以及为实施和完成本合同工程及其缺陷修复所必需的一切工作和条件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68" w:name="_Toc2687"/>
      <w:bookmarkStart w:id="369" w:name="_Toc6706"/>
      <w:r>
        <w:rPr>
          <w:rFonts w:hint="eastAsia" w:ascii="宋体" w:hAnsi="宋体" w:eastAsia="宋体" w:cs="宋体"/>
          <w:spacing w:val="14"/>
          <w:sz w:val="24"/>
          <w:szCs w:val="24"/>
        </w:rPr>
        <w:t>4.13 开展党建工作要求</w:t>
      </w:r>
      <w:bookmarkEnd w:id="368"/>
      <w:bookmarkEnd w:id="36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对于政府投资的国家高速公路项目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或承包人为国有控股或参股企业的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承包人应按规定在项目现场设立基层党组织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不满足上述情形的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承包人应创造条件使党员能够参加党组织生活并接受相应管理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承包人在项目现场设立基层党组织的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应明确党组织机构设置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党组织负责人及党务工作人员配备情况</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编制党务工作开展预案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并按照预案要求在项目实施过程中同步开展党务工作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充分发挥基层党组织在项目实施中的作用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370" w:name="_Toc4340"/>
      <w:bookmarkStart w:id="371" w:name="_Toc8886"/>
      <w:r>
        <w:rPr>
          <w:rFonts w:hint="eastAsia" w:ascii="宋体" w:hAnsi="宋体" w:eastAsia="宋体" w:cs="宋体"/>
          <w:spacing w:val="14"/>
          <w:sz w:val="24"/>
          <w:szCs w:val="24"/>
        </w:rPr>
        <w:t>5. 材料和工程设备</w:t>
      </w:r>
      <w:bookmarkEnd w:id="370"/>
      <w:bookmarkEnd w:id="37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72" w:name="_Toc32201"/>
      <w:bookmarkStart w:id="373" w:name="_Toc12155"/>
      <w:r>
        <w:rPr>
          <w:rFonts w:hint="eastAsia" w:ascii="宋体" w:hAnsi="宋体" w:eastAsia="宋体" w:cs="宋体"/>
          <w:spacing w:val="14"/>
          <w:sz w:val="24"/>
          <w:szCs w:val="24"/>
        </w:rPr>
        <w:t>5.2 发包人提供的材料和工程设备</w:t>
      </w:r>
      <w:bookmarkEnd w:id="372"/>
      <w:bookmarkEnd w:id="37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5.2.3 项补充：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承包人负责接收并按规定对材料进行抽样检验和对工程设备进行检验测试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若发现材料和工程设备存在缺陷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承包人应及时通知监理人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发包人应及时改正通知中指出的缺陷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承包人负责接收后的运输和保管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因承包人的原因发生丢失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损坏或进度拖延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由承包人承担相应责任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374" w:name="_Toc21789"/>
      <w:bookmarkStart w:id="375" w:name="_Toc20076"/>
      <w:r>
        <w:rPr>
          <w:rFonts w:hint="eastAsia" w:ascii="宋体" w:hAnsi="宋体" w:eastAsia="宋体" w:cs="宋体"/>
          <w:spacing w:val="14"/>
          <w:sz w:val="24"/>
          <w:szCs w:val="24"/>
        </w:rPr>
        <w:t>6. 施工设备和临时设施</w:t>
      </w:r>
      <w:bookmarkEnd w:id="374"/>
      <w:bookmarkEnd w:id="37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76" w:name="_Toc14668"/>
      <w:bookmarkStart w:id="377" w:name="_Toc23133"/>
      <w:r>
        <w:rPr>
          <w:rFonts w:hint="eastAsia" w:ascii="宋体" w:hAnsi="宋体" w:eastAsia="宋体" w:cs="宋体"/>
          <w:spacing w:val="14"/>
          <w:sz w:val="24"/>
          <w:szCs w:val="24"/>
        </w:rPr>
        <w:t>6.1 承包人提供的施工设备和临时设施</w:t>
      </w:r>
      <w:bookmarkEnd w:id="376"/>
      <w:bookmarkEnd w:id="37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6.1.2 项约定为：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承包人应自行承担修建临时设施的费用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需要临时占地的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应由承包人按第4.1.10 项（1）目的规定办理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78" w:name="_Toc15064"/>
      <w:bookmarkStart w:id="379" w:name="_Toc6981"/>
      <w:r>
        <w:rPr>
          <w:rFonts w:hint="eastAsia" w:ascii="宋体" w:hAnsi="宋体" w:eastAsia="宋体" w:cs="宋体"/>
          <w:spacing w:val="14"/>
          <w:sz w:val="24"/>
          <w:szCs w:val="24"/>
        </w:rPr>
        <w:t>6.3 要求承包人增加或更换施工设备</w:t>
      </w:r>
      <w:bookmarkEnd w:id="378"/>
      <w:bookmarkEnd w:id="37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承包人承诺的施工设备必须按时到达现场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不得拖延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缺短或任意更换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尽管承包人已按承诺提供了上述设备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但若承包人使用的施工设备不能满足合同进度计划和（或）质量要求时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监理人有权要求承包人增加或更换施工设备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承包人应及时增加或更换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由此增加的费用和（或）工期延误由承包人承担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380" w:name="_Toc24704"/>
      <w:bookmarkStart w:id="381" w:name="_Toc21216"/>
      <w:r>
        <w:rPr>
          <w:rFonts w:hint="eastAsia" w:ascii="宋体" w:hAnsi="宋体" w:eastAsia="宋体" w:cs="宋体"/>
          <w:spacing w:val="14"/>
          <w:sz w:val="24"/>
          <w:szCs w:val="24"/>
        </w:rPr>
        <w:t>7. 交通运输</w:t>
      </w:r>
      <w:bookmarkEnd w:id="380"/>
      <w:bookmarkEnd w:id="38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82" w:name="_Toc5767"/>
      <w:bookmarkStart w:id="383" w:name="_Toc32717"/>
      <w:r>
        <w:rPr>
          <w:rFonts w:hint="eastAsia" w:ascii="宋体" w:hAnsi="宋体" w:eastAsia="宋体" w:cs="宋体"/>
          <w:spacing w:val="14"/>
          <w:sz w:val="24"/>
          <w:szCs w:val="24"/>
        </w:rPr>
        <w:t>7.1 道路通行权和场外设施</w:t>
      </w:r>
      <w:bookmarkEnd w:id="382"/>
      <w:bookmarkEnd w:id="38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本款约定为：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承包人应根据合同工程的施工需要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负责办理取得出入施工场地的专用和临时道路的通行权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以及取得为工程建设所需修建场外设施的权利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并承担有关费用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需要发包人协调时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发包人应协助承包人办理相关手续</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384" w:name="_Toc19899"/>
      <w:bookmarkStart w:id="385" w:name="_Toc30123"/>
      <w:r>
        <w:rPr>
          <w:rFonts w:hint="eastAsia" w:ascii="宋体" w:hAnsi="宋体" w:eastAsia="宋体" w:cs="宋体"/>
          <w:spacing w:val="14"/>
          <w:sz w:val="24"/>
          <w:szCs w:val="24"/>
        </w:rPr>
        <w:t>8. 测量放线</w:t>
      </w:r>
      <w:bookmarkEnd w:id="384"/>
      <w:bookmarkEnd w:id="38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86" w:name="_Toc7415"/>
      <w:bookmarkStart w:id="387" w:name="_Toc19215"/>
      <w:r>
        <w:rPr>
          <w:rFonts w:hint="eastAsia" w:ascii="宋体" w:hAnsi="宋体" w:eastAsia="宋体" w:cs="宋体"/>
          <w:spacing w:val="14"/>
          <w:sz w:val="24"/>
          <w:szCs w:val="24"/>
        </w:rPr>
        <w:t>8.4 监理人使用施工控制网</w:t>
      </w:r>
      <w:bookmarkEnd w:id="386"/>
      <w:bookmarkEnd w:id="38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经监理人批准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其他相关承包人也可免费使用施工控制网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388" w:name="_Toc3758"/>
      <w:bookmarkStart w:id="389" w:name="_Toc24350"/>
      <w:r>
        <w:rPr>
          <w:rFonts w:hint="eastAsia" w:ascii="宋体" w:hAnsi="宋体" w:eastAsia="宋体" w:cs="宋体"/>
          <w:spacing w:val="14"/>
          <w:sz w:val="24"/>
          <w:szCs w:val="24"/>
        </w:rPr>
        <w:t>9. 施工安全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治安保卫和环境保护</w:t>
      </w:r>
      <w:bookmarkEnd w:id="388"/>
      <w:bookmarkEnd w:id="38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90" w:name="_Toc31409"/>
      <w:bookmarkStart w:id="391" w:name="_Toc8567"/>
      <w:r>
        <w:rPr>
          <w:rFonts w:hint="eastAsia" w:ascii="宋体" w:hAnsi="宋体" w:eastAsia="宋体" w:cs="宋体"/>
          <w:spacing w:val="14"/>
          <w:sz w:val="24"/>
          <w:szCs w:val="24"/>
        </w:rPr>
        <w:t>9.2 承包人的施工安全责任</w:t>
      </w:r>
      <w:bookmarkEnd w:id="390"/>
      <w:bookmarkEnd w:id="39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9.2.1 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承包人应按合同约定履行安全职责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严格执行国家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地方政府有关施工安全管理方面的法律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法规及规章制度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同时严格执行发包人制订的本项目安全生产管理方面的规章制度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安全检查程序及施工安全管理要求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以及监理人有关安全工作的指示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承包人应根据本工程的实际安全施工要求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编制施工安全技术措施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并在签订合同协议书后 28 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报监理人和发包人批准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该施工安全技术措施包括（但不限于）施工安全保障体系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安全生产责任制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安全生产管理规章制度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安全防护施工方案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施工现场临时用电方案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施工安全评估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安全预控及保证措施方案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紧急应变措施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安全标识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警示和围护方案等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对影响安全的重要工序和下列危险性较大的工程应编制专项施工方案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并附安全验算结果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经承包人项目总工签字并报监理人和发包人批准后实施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由专职安全生产管理人员进行现场监督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本项目需要编制专项施工方案的工程包括但不限于以下内容：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（1）不良地质条件下有潜在危险性的土方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石方开挖</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（2）滑坡和高边坡处理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（3）桩基础</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挡墙基础</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深水基础及围堰工程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（4）桥梁工程中的梁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柱等构件施工等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（5）隧道工程中的不良地质隧道</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高瓦斯隧道等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（6）水上工程中的打桩船作业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施工船作业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外海孤岛作业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边通航边施工作业等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（7）水下工程中的水下焊接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混凝土浇筑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爆破工程等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（8）爆破工程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（9）大型临时工程中的大型支架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模板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便桥的架设与拆除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桥梁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码头的加固与拆除</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（10）其他危险性较大的工程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监理人和发包人在检查中发现有安全问题或有违反安全管理规章制度的情况时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可视为承包人违约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应按第 22.1 款的规定办理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9.2.5 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除项目专用合同条款另有约定外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安全生产费用应为投标价（不含安全生产费及建筑工程一切险及第三者责任险的保险费）的 1.5%（若发包人公布了最高投标限价时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按最高投标限价的 1.5%计）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安全生产费用应用于施工安全防护用具及设施的采购和更新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安全施工措施的落实</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安全生产条件的改善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不得挪作他用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如承包人在此基础上增加安全生产费用以满足项目施工需要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则承包人应在本项目工程量清单其他相关子目的单价或总额价中予以考虑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发包人不再另行支付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因采取合同未约定的特殊防护措施增加的费用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由监理人按第3.5 款商定或确定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本款补充第 9.2.8 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第 9.2.11 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9.2.8 承包人应充分关注和保障所有在现场工作的人员的安全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采取以下有效措施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使现场和本合同工程的实施保持有条不紊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以免使上述人员的安全受到威胁</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（1）按《公路水运工程安全生产监督管理办法》规定的最低数量和资质条件配备专职安全生产管理人员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（2）承包人的垂直运输机械作业人员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施工船舶作业人员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爆破作业人员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安装拆卸工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起重信号工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电工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焊工等国家规定的特种作业人员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必须按照国家规定经过专门的安全作业培训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并取得特种作业操作资格证书后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方可上岗作业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（3）所有施工机具设备和高空作业设备均应定期检查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并有安全员的签字记录</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（4）根据本合同各单位工程的施工特点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严格执行《公路水运工程安全生产监督管理办法》《公路工程施工安全技术规范》等有关规定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9.2.9 为了保护本合同工程免遭损坏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或为了现场附近和过往群众的安全与方便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在确有必要的时候和地方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或当监理人或有关主管部门要求时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承包人应自费提供照明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警卫</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护栅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警告标志等安全防护设施</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9.2.10 在通航水域施工时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承包人应与当地主管部门取得联系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设置必要的导航标志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及时发布航行通告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确保施工水域安全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9.2.11 在整个施工过程中对承包人采取的施工安全措施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发包人和监理人有权监督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并向承包人提出整改要求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如果由于承包人未能对其负责的上述事项采取各种必要的措施而导致或发生与此有关的人身伤亡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罚款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索赔</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损失补偿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诉讼费用及其他一切责任应由承包人负责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92" w:name="_Toc24261"/>
      <w:bookmarkStart w:id="393" w:name="_Toc9061"/>
      <w:r>
        <w:rPr>
          <w:rFonts w:hint="eastAsia" w:ascii="宋体" w:hAnsi="宋体" w:eastAsia="宋体" w:cs="宋体"/>
          <w:spacing w:val="14"/>
          <w:sz w:val="24"/>
          <w:szCs w:val="24"/>
        </w:rPr>
        <w:t>9.4 环境保护</w:t>
      </w:r>
      <w:bookmarkEnd w:id="392"/>
      <w:bookmarkEnd w:id="39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本款补充第 9.4.7 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第 9.4.11 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9.4.7 承包人应切实执行技术规范中有关环境保护方面的条款和规定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（1）对于来自施工机械和运输车辆的施工噪声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为保护施工人员的健康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应遵守《中华人民共和国环境噪声污染防治法》并依据《工业企业噪声卫生标准》合理安排工作人员轮流操作筑路机械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减少接触高噪声的时间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或间歇安排高噪声的工作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对距噪声源较近的施工人员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除采取使用防护耳塞或头盔等有效措施外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还应当缩短其劳动时间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同时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要注意对机械的经常性保养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尽量使其噪声降低到最低水平</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为保护施工现场附近居民的夜间休息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对居民区 150m 以内的施工现场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施工时间应加以控制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（2）对于公路施工中粉尘污染的主要污染源――灰土拌和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施工车辆和筑路机械运行及运输产生的扬尘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应采取有效措施减轻其对施工现场的大气污染</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保护人民健康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a. 拌和设备应有较好的密封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或有防尘设备</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b. 施工通道</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沥青混凝土拌和站及灰土拌和站应经常进行洒水降尘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c. 路面施工应注意保持水分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以免扬尘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d. 隧道出渣和桥梁钻孔灌注桩施工时排出的泥浆要进行妥善处理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严禁向河流或农田排放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（3）采取可靠措施保证原有交通的正常通行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维持沿线村镇的居民饮水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农田灌溉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生产生活用电及通信等管线的正常使用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9.4.8 在整个施工过程中对承包人采取的环境保护措施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发包人和监理人有权监督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并向承包人提出整改要求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如果由于承包人未能对其负责的上述事项采取各种必要的措施而导致或发生与此有关的人身伤亡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罚款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索赔</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损失补偿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诉讼费用及其他一切责任应由承包人负责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9.4.9 在施工期间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承包人应随时保持现场整洁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施工设备和材料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工程设备应整齐妥善存放和储存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废料与垃圾及不再需要的临时设施应及时从现场清除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拆除并运走</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9.4.10 在施工期间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承包人应严格遵守《关于在公路建设中实行最严格的耕地保护制度的若干意见》的相关规定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规范用地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科学用地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合理用地和节约用地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承包人应合理利用所占耕地地表的耕作层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用于重新造地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合理设置取土坑和弃土场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取土坑和弃土场的施工防护要符合要求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防止水土流失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承包人应严格控制临时占地数量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施工便道</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各种料场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预制场要根据工程进度统筹考虑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尽可能设置在公路用地范围内或利用荒坡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废弃地解决</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不得占用农田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施工过程中要采取有效措施防止污染农田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项目完工后承包人应将临时占地自费恢复到临时占地使用前的状况</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9.4.11 承包人应严格按照国家有关法规要求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做好施工过程中的生态保护和水土保持工作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施工中要尽可能减少对原地面的扰动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减少对地面草木的破坏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需要爆破作业的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应按规定进行控爆设计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雨季填筑路基应随挖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随运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随填</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随压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要完善施工中的临时排水系统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加强施工便道的管理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取（弃）土场必须先挡后弃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严禁在指定的取（弃）土场以外的地方乱挖乱弃</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394" w:name="_Toc32139"/>
      <w:bookmarkStart w:id="395" w:name="_Toc28402"/>
      <w:r>
        <w:rPr>
          <w:rFonts w:hint="eastAsia" w:ascii="宋体" w:hAnsi="宋体" w:eastAsia="宋体" w:cs="宋体"/>
          <w:spacing w:val="14"/>
          <w:sz w:val="24"/>
          <w:szCs w:val="24"/>
        </w:rPr>
        <w:t>10. 进度计划</w:t>
      </w:r>
      <w:bookmarkEnd w:id="394"/>
      <w:bookmarkEnd w:id="39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96" w:name="_Toc13846"/>
      <w:bookmarkStart w:id="397" w:name="_Toc21378"/>
      <w:r>
        <w:rPr>
          <w:rFonts w:hint="eastAsia" w:ascii="宋体" w:hAnsi="宋体" w:eastAsia="宋体" w:cs="宋体"/>
          <w:spacing w:val="14"/>
          <w:sz w:val="24"/>
          <w:szCs w:val="24"/>
        </w:rPr>
        <w:t>10.1 合同进度计划</w:t>
      </w:r>
      <w:bookmarkEnd w:id="396"/>
      <w:bookmarkEnd w:id="39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承包人编制施工方案说明的内容见项目专用合同条款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承包人向监理人报送施工进度计划和施工方案说明的期限：签订合同协议书后28 天之内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监理人应在 14 天内对承包人施工进度计划和施工方案说明予以批复或提出修改意见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合同进度计划应按照关键线路网络图和主要工作横道图两种形式分别编绘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并应包括每月预计完成的工作量和形象进度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98" w:name="_Toc17170"/>
      <w:bookmarkStart w:id="399" w:name="_Toc18331"/>
      <w:r>
        <w:rPr>
          <w:rFonts w:hint="eastAsia" w:ascii="宋体" w:hAnsi="宋体" w:eastAsia="宋体" w:cs="宋体"/>
          <w:spacing w:val="14"/>
          <w:sz w:val="24"/>
          <w:szCs w:val="24"/>
        </w:rPr>
        <w:t>10.2 合同进度计划的修订</w:t>
      </w:r>
      <w:bookmarkEnd w:id="398"/>
      <w:bookmarkEnd w:id="39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承包人提交合同进度计划修订申请报告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并附有关措施和相关资料的期限：实际进度发生滞后的当月 25 日前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监理人批复修订合同进度计划的期限：收到修订合同进度计划后 14 天内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本条补充第 10.3 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第 10.4 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00" w:name="_Toc22709"/>
      <w:bookmarkStart w:id="401" w:name="_Toc24481"/>
      <w:r>
        <w:rPr>
          <w:rFonts w:hint="eastAsia" w:ascii="宋体" w:hAnsi="宋体" w:eastAsia="宋体" w:cs="宋体"/>
          <w:spacing w:val="14"/>
          <w:sz w:val="24"/>
          <w:szCs w:val="24"/>
        </w:rPr>
        <w:t>10.3 年度施工计划</w:t>
      </w:r>
      <w:bookmarkEnd w:id="400"/>
      <w:bookmarkEnd w:id="40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承包人应在每年 11 月底前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根据已同意的合同进度计划或其修订的计划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向监理人提交 2 份格式和内容符合监理人合理规定的下一年度的施工计划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以供审查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该计划应包括本年度估计完成的和下一年度预计完成的分项工程数量和工作量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以及为实施此计划将采取的措施</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02" w:name="_Toc28046"/>
      <w:bookmarkStart w:id="403" w:name="_Toc182"/>
      <w:r>
        <w:rPr>
          <w:rFonts w:hint="eastAsia" w:ascii="宋体" w:hAnsi="宋体" w:eastAsia="宋体" w:cs="宋体"/>
          <w:spacing w:val="14"/>
          <w:sz w:val="24"/>
          <w:szCs w:val="24"/>
        </w:rPr>
        <w:t>10.4 合同用款计划</w:t>
      </w:r>
      <w:bookmarkEnd w:id="402"/>
      <w:bookmarkEnd w:id="40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承包人应在签订本合同协议书后 28 天之内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按招标文件中规定的格式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向监理人提交 2 份按合同规定承包人有权得到支付的详细的季度合同用款计划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以备监理人查阅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如果监理人提出要求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承包人还应按季度提交修订的合同用款计划</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404" w:name="_Toc20889"/>
      <w:bookmarkStart w:id="405" w:name="_Toc12777"/>
      <w:r>
        <w:rPr>
          <w:rFonts w:hint="eastAsia" w:ascii="宋体" w:hAnsi="宋体" w:eastAsia="宋体" w:cs="宋体"/>
          <w:spacing w:val="14"/>
          <w:sz w:val="24"/>
          <w:szCs w:val="24"/>
        </w:rPr>
        <w:t>11. 开工和交工</w:t>
      </w:r>
      <w:bookmarkEnd w:id="404"/>
      <w:bookmarkEnd w:id="40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06" w:name="_Toc14042"/>
      <w:bookmarkStart w:id="407" w:name="_Toc26565"/>
      <w:r>
        <w:rPr>
          <w:rFonts w:hint="eastAsia" w:ascii="宋体" w:hAnsi="宋体" w:eastAsia="宋体" w:cs="宋体"/>
          <w:spacing w:val="14"/>
          <w:sz w:val="24"/>
          <w:szCs w:val="24"/>
        </w:rPr>
        <w:t>11.1 开工</w:t>
      </w:r>
      <w:bookmarkEnd w:id="406"/>
      <w:bookmarkEnd w:id="40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11.1.2 项补充：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承包人应在分部工程开工前 14 天向监理人提交分部工程开工报审表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若承包人的开工准备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工作计划和质量控制方法是可接受的且已获得批准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则经监理人书面同意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分部工程才能开工</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08" w:name="_Toc25049"/>
      <w:bookmarkStart w:id="409" w:name="_Toc21253"/>
      <w:r>
        <w:rPr>
          <w:rFonts w:hint="eastAsia" w:ascii="宋体" w:hAnsi="宋体" w:eastAsia="宋体" w:cs="宋体"/>
          <w:spacing w:val="14"/>
          <w:sz w:val="24"/>
          <w:szCs w:val="24"/>
        </w:rPr>
        <w:t>11.3 发包人的工期延误</w:t>
      </w:r>
      <w:bookmarkEnd w:id="408"/>
      <w:bookmarkEnd w:id="40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即使由于上述原因造成工期延误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如果受影响的工程并非处在工程施工进度网络计划的关键线路上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则承包人无权要求延长总工期</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10" w:name="_Toc26904"/>
      <w:bookmarkStart w:id="411" w:name="_Toc28203"/>
      <w:r>
        <w:rPr>
          <w:rFonts w:hint="eastAsia" w:ascii="宋体" w:hAnsi="宋体" w:eastAsia="宋体" w:cs="宋体"/>
          <w:spacing w:val="14"/>
          <w:sz w:val="24"/>
          <w:szCs w:val="24"/>
        </w:rPr>
        <w:t>11.4 异常恶劣的气候条件</w:t>
      </w:r>
      <w:bookmarkEnd w:id="410"/>
      <w:bookmarkEnd w:id="41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异常气候是指项目所在地 30 年以上一遇的罕见气候现象（包括温度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降水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降雪</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风等）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异常恶劣的气候条件在项目专用合同条款中作具体约定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12" w:name="_Toc4986"/>
      <w:bookmarkStart w:id="413" w:name="_Toc22937"/>
      <w:r>
        <w:rPr>
          <w:rFonts w:hint="eastAsia" w:ascii="宋体" w:hAnsi="宋体" w:eastAsia="宋体" w:cs="宋体"/>
          <w:spacing w:val="14"/>
          <w:sz w:val="24"/>
          <w:szCs w:val="24"/>
        </w:rPr>
        <w:t>11.5 承包人的工期延误</w:t>
      </w:r>
      <w:bookmarkEnd w:id="412"/>
      <w:bookmarkEnd w:id="41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（1）承包人应严格执行监理人批准的合同进度计划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对工作量计划和形象进度计划分别控制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除第 11.3 款规定外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承包人的实际工程进度曲线应在合同进度管理曲线规定的安全区域之内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若承包人的实际工程进度曲线处在合同进度管理曲线规定的安全区域的下限之外时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则监理人有权认为本合同工程的进度过慢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并通知承包人应采取必要措施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以便加快工程进度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确保工程能在预定的工期内交工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承包人应采取措施加快进度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并承担加快进度所增加的费用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（2）如果承包人在接到监理人通知后的 14 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未能采取加快工程进度的措施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致使实际工程进度进一步滞后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或承包人虽采取了一些措施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仍无法按预计工期交工时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监理人应立即通知发包人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发包人在向承包人发出书面警告通知 14 天后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发包人可按第 22.1 款终止对承包人的雇用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也可将本合同工程中的一部分工作交由其他承包人或其他分包人完成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在不解除本合同规定的承包人责任和义务的同时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承包人应承担因此所增加的一切费用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（3）由于承包人原因造成工期延误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承包人应支付逾期交工违约金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逾期交工违约金的计算方法在项目专用合同条款数据表中约定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时间自预定的交工日期起到交工验收证书中写明的实际交工日期止（扣除已批准的延长工期）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按天计算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逾期交工违约金累计金额最高不超过项目专用合同条款数据表中写明的限额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发包人可以从应付或到期应付给承包人的任何款项中或采用其他方法扣除此违约金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（4）承包人支付逾期交工违约金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不免除承包人完成工程及修补缺陷的义务</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（5）如果在合同工程完工之前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已对合同工程内按时完工的单位工程签发了交工验收证书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则合同工程的逾期交工违约金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应按已签发交工验收证书的单位工程的价值占合同工程价值的比例予以减少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但本规定不应影响逾期交工违约金的规定限额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14" w:name="_Toc22264"/>
      <w:bookmarkStart w:id="415" w:name="_Toc22666"/>
      <w:r>
        <w:rPr>
          <w:rFonts w:hint="eastAsia" w:ascii="宋体" w:hAnsi="宋体" w:eastAsia="宋体" w:cs="宋体"/>
          <w:spacing w:val="14"/>
          <w:sz w:val="24"/>
          <w:szCs w:val="24"/>
        </w:rPr>
        <w:t>11.6 工期提前</w:t>
      </w:r>
      <w:bookmarkEnd w:id="414"/>
      <w:bookmarkEnd w:id="41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发包人不得随意要求承包人提前交工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承包人也不得随意提出提前交工的建议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如遇特殊情况</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确需将工期提前的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发包人和承包人必须采取有效措施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确保工程质量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如果承包人提前交工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发包人支付奖金的计算方法在项目专用合同条款数据表中约定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时间自交工验收证书中写明的实际交工日期起至预定的交工日期止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按天计算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但奖金最高限额不超过项目专用合同条款数据表中写明的限额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本条补充第 11.7 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16" w:name="_Toc205"/>
      <w:bookmarkStart w:id="417" w:name="_Toc27441"/>
      <w:r>
        <w:rPr>
          <w:rFonts w:hint="eastAsia" w:ascii="宋体" w:hAnsi="宋体" w:eastAsia="宋体" w:cs="宋体"/>
          <w:spacing w:val="14"/>
          <w:sz w:val="24"/>
          <w:szCs w:val="24"/>
        </w:rPr>
        <w:t>11.7 工作时间的限制</w:t>
      </w:r>
      <w:bookmarkEnd w:id="416"/>
      <w:bookmarkEnd w:id="41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承包人在夜间或国家规定的节假日进行永久工程的施工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应向监理人报告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以便监理人履行监理职责和义务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为了抢救生命或保护财产</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或为了工程的安全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质量而不可避免地短暂作业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则不必事先向监理人报告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但承包人应在事后立即向监理人报告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本款规定不适用于习惯上或施工本身要求实行连续生产的作业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418" w:name="_Toc5487"/>
      <w:bookmarkStart w:id="419" w:name="_Toc26523"/>
      <w:r>
        <w:rPr>
          <w:rFonts w:hint="eastAsia" w:ascii="宋体" w:hAnsi="宋体" w:eastAsia="宋体" w:cs="宋体"/>
          <w:spacing w:val="14"/>
          <w:sz w:val="24"/>
          <w:szCs w:val="24"/>
        </w:rPr>
        <w:t>12. 暂停施工</w:t>
      </w:r>
      <w:bookmarkEnd w:id="418"/>
      <w:bookmarkEnd w:id="41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20" w:name="_Toc1933"/>
      <w:bookmarkStart w:id="421" w:name="_Toc31035"/>
      <w:r>
        <w:rPr>
          <w:rFonts w:hint="eastAsia" w:ascii="宋体" w:hAnsi="宋体" w:eastAsia="宋体" w:cs="宋体"/>
          <w:spacing w:val="14"/>
          <w:sz w:val="24"/>
          <w:szCs w:val="24"/>
        </w:rPr>
        <w:t>12.1 承包人暂停施工的责任</w:t>
      </w:r>
      <w:bookmarkEnd w:id="420"/>
      <w:bookmarkEnd w:id="42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本款第（5）项细化为：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（5）现场气候条件导致的必要停工（第 11.4 款约定的异常恶劣的气候条件除外）</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（6）项目专用合同条款可能约定的由承包人承担的其他暂停施工</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422" w:name="_Toc26326"/>
      <w:bookmarkStart w:id="423" w:name="_Toc19183"/>
      <w:r>
        <w:rPr>
          <w:rFonts w:hint="eastAsia" w:ascii="宋体" w:hAnsi="宋体" w:eastAsia="宋体" w:cs="宋体"/>
          <w:spacing w:val="14"/>
          <w:sz w:val="24"/>
          <w:szCs w:val="24"/>
        </w:rPr>
        <w:t>13. 工程质量</w:t>
      </w:r>
      <w:bookmarkEnd w:id="422"/>
      <w:bookmarkEnd w:id="42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24" w:name="_Toc30715"/>
      <w:bookmarkStart w:id="425" w:name="_Toc20363"/>
      <w:r>
        <w:rPr>
          <w:rFonts w:hint="eastAsia" w:ascii="宋体" w:hAnsi="宋体" w:eastAsia="宋体" w:cs="宋体"/>
          <w:spacing w:val="14"/>
          <w:sz w:val="24"/>
          <w:szCs w:val="24"/>
        </w:rPr>
        <w:t>13.1 工程质量要求</w:t>
      </w:r>
      <w:bookmarkEnd w:id="424"/>
      <w:bookmarkEnd w:id="42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13.1.1 项约定为：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工程质量验收按技术规范及《公路工程质量检验评定标准》执行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本款补充第 13.1.4 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第 13.1.5 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13.1.4 发包人和承包人应严格遵守《关于严格落实公路工程质量责任制的若干意见》的相关规定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认真执行工程质量责任登记制度并按要求填写工程质量责任登记表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13.1.5 本项目严格执行质量责任追究制度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质量事故处理实行“四不放过”原则：事故原因调查不清不放过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事故责任者没有受到教育不放过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没有防范措施不放过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相关责任人没受到处理不放过</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26" w:name="_Toc30191"/>
      <w:bookmarkStart w:id="427" w:name="_Toc32267"/>
      <w:r>
        <w:rPr>
          <w:rFonts w:hint="eastAsia" w:ascii="宋体" w:hAnsi="宋体" w:eastAsia="宋体" w:cs="宋体"/>
          <w:spacing w:val="14"/>
          <w:sz w:val="24"/>
          <w:szCs w:val="24"/>
        </w:rPr>
        <w:t>13.2 承包人的质量管理</w:t>
      </w:r>
      <w:bookmarkEnd w:id="426"/>
      <w:bookmarkEnd w:id="42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13.2.1 项补充：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承包人提交工程质量保证措施文件的期限：签订合同协议书后 28 天之内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本款补充第 13.2.3 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第 13.2.10 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13.2.3 公路工程</w:t>
      </w:r>
      <w:r>
        <w:rPr>
          <w:rFonts w:hint="eastAsia" w:ascii="宋体" w:hAnsi="宋体" w:eastAsia="宋体" w:cs="宋体"/>
          <w:spacing w:val="14"/>
          <w:sz w:val="24"/>
          <w:szCs w:val="24"/>
          <w:lang w:eastAsia="zh-CN"/>
        </w:rPr>
        <w:t>实行</w:t>
      </w:r>
      <w:r>
        <w:rPr>
          <w:rFonts w:hint="eastAsia" w:ascii="宋体" w:hAnsi="宋体" w:eastAsia="宋体" w:cs="宋体"/>
          <w:spacing w:val="14"/>
          <w:sz w:val="24"/>
          <w:szCs w:val="24"/>
        </w:rPr>
        <w:t>质量责任终身制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承包人应当书面明确相应的项目负责人和质量负责人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承包人的相关人员按照国家法律法规和有关规定在工程合理使用年限内承担相应的质量责任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13.2.4 承包人应当建立健全工程质量保证体系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制定质量管理制度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强化工程质量管理措施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完善工程质量目标保障机制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严格遵守国家有关法律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法规和规章</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严格执行公路工程强制性技术标准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各类技术规范及规程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全面履行工程合同义务</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13.2.5 承包人对工程施工质量负责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应当</w:t>
      </w:r>
      <w:r>
        <w:rPr>
          <w:rFonts w:hint="eastAsia" w:ascii="宋体" w:hAnsi="宋体" w:eastAsia="宋体" w:cs="宋体"/>
          <w:spacing w:val="14"/>
          <w:sz w:val="24"/>
          <w:szCs w:val="24"/>
          <w:lang w:eastAsia="zh-CN"/>
        </w:rPr>
        <w:t>按照</w:t>
      </w:r>
      <w:r>
        <w:rPr>
          <w:rFonts w:hint="eastAsia" w:ascii="宋体" w:hAnsi="宋体" w:eastAsia="宋体" w:cs="宋体"/>
          <w:spacing w:val="14"/>
          <w:sz w:val="24"/>
          <w:szCs w:val="24"/>
        </w:rPr>
        <w:t>合同约定设立现场质量管理机构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配备工程技术人员和质量管理人员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落实工程施工质量责任制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13.2.6 承包人应当严格按照工程设计图纸</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施工技术标准和合同约定施工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对原材料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混合料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构配件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工程实体</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机电设备等进行检验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按规定施行班组自检</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工序交接检</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专职质检员检验的质量控制程序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对分项工程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分部工程和单位工程进行质量自评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检验或者自评不合格的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不得进入下道工序或者投入使用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13.2.7 承包人应当加强施工过程质量控制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并形成完整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可追溯的施工质量管理资料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主体工程的隐蔽部位施工还应当保留影像资料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对施工中出现的质量问题或者验收不合格的工程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应当负责返工处理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对在保修范围和保修期限内发生质量问题的工程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应当履行保修义务</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13.2.8 承包人应当按照合同约定设立工地临时试验室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配齐检测和试验仪器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仪表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及时校正确保其精度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严格按照工程技术标准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检测规范和规程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在核定的试验检测参数范围内开展试验检测活动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并确保规范规定的检验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抽检频率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承包人应当对其设立的工地临时试验室所出具的试验检测数据和报告的真实性</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客观性</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准确性负责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13.2.9 承包人应当依法规范分包行为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并对承担的工程质量负总责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分包单位对分包合同范围内的工程质量负责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13.2.10 承包人驻工程现场机构应在现场驻地和重要的分部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分项工程施工现场设置明显的工程质量责任登记表公示牌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28" w:name="_Toc10544"/>
      <w:bookmarkStart w:id="429" w:name="_Toc17580"/>
      <w:r>
        <w:rPr>
          <w:rFonts w:hint="eastAsia" w:ascii="宋体" w:hAnsi="宋体" w:eastAsia="宋体" w:cs="宋体"/>
          <w:spacing w:val="14"/>
          <w:sz w:val="24"/>
          <w:szCs w:val="24"/>
        </w:rPr>
        <w:t>13.4 监理人的质量检查</w:t>
      </w:r>
      <w:bookmarkEnd w:id="428"/>
      <w:bookmarkEnd w:id="42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监理人及其委派的检验人员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应能进入工程现场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以及材料或工程设备的制造</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加工或制配的车间和场所</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包括不属于承包人的车间或场所进行检查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承包人应为此提供便利和协助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监理人可以将材料或工程设备的检查和检验委托给一家独立的有质量检验认证资格的检验单位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该独立检验单位的检验结果应视为监理人完成的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监理人应将这种委托的通知书不少于 7 天前交给承包人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30" w:name="_Toc249"/>
      <w:bookmarkStart w:id="431" w:name="_Toc10344"/>
      <w:r>
        <w:rPr>
          <w:rFonts w:hint="eastAsia" w:ascii="宋体" w:hAnsi="宋体" w:eastAsia="宋体" w:cs="宋体"/>
          <w:spacing w:val="14"/>
          <w:sz w:val="24"/>
          <w:szCs w:val="24"/>
        </w:rPr>
        <w:t>13.5 工程隐蔽部位覆盖前的检查</w:t>
      </w:r>
      <w:bookmarkEnd w:id="430"/>
      <w:bookmarkEnd w:id="43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13.5.1 项补充：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当监理人有指令时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承包人应对重要隐蔽工程进行拍摄或照相并应保证监理人有充分的机会对将要覆盖或掩蔽的工程进行检查和量测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特别是在基础以上的任一部分工程修筑之前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对该基础进行检查</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32" w:name="_Toc31331"/>
      <w:bookmarkStart w:id="433" w:name="_Toc3147"/>
      <w:r>
        <w:rPr>
          <w:rFonts w:hint="eastAsia" w:ascii="宋体" w:hAnsi="宋体" w:eastAsia="宋体" w:cs="宋体"/>
          <w:spacing w:val="14"/>
          <w:sz w:val="24"/>
          <w:szCs w:val="24"/>
        </w:rPr>
        <w:t>13.6 清除不合格工程</w:t>
      </w:r>
      <w:bookmarkEnd w:id="432"/>
      <w:bookmarkEnd w:id="43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13.6.1 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（1）承包人使用不合格材料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或采用不适当的施工工艺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或施工不当</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造成工程不合格的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监理人可以随时发出指示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要求承包人立即采取措施进行替换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补救或拆除重建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直至达到合同要求的质量标准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由此增加的费用和（或）工期延误由承包人承担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（2）如果承包人未在规定时间内执行监理人的指示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发包人有权雇用他人执行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由此增加的费用和（或）工期延误由承包人承担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434" w:name="_Toc9858"/>
      <w:bookmarkStart w:id="435" w:name="_Toc30348"/>
      <w:r>
        <w:rPr>
          <w:rFonts w:hint="eastAsia" w:ascii="宋体" w:hAnsi="宋体" w:eastAsia="宋体" w:cs="宋体"/>
          <w:spacing w:val="14"/>
          <w:sz w:val="24"/>
          <w:szCs w:val="24"/>
        </w:rPr>
        <w:t>14. 试验和检验</w:t>
      </w:r>
      <w:bookmarkEnd w:id="434"/>
      <w:bookmarkEnd w:id="43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本条补充第 14.4 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36" w:name="_Toc18692"/>
      <w:bookmarkStart w:id="437" w:name="_Toc27769"/>
      <w:r>
        <w:rPr>
          <w:rFonts w:hint="eastAsia" w:ascii="宋体" w:hAnsi="宋体" w:eastAsia="宋体" w:cs="宋体"/>
          <w:spacing w:val="14"/>
          <w:sz w:val="24"/>
          <w:szCs w:val="24"/>
        </w:rPr>
        <w:t>14.4 试验和检验费用</w:t>
      </w:r>
      <w:bookmarkEnd w:id="436"/>
      <w:bookmarkEnd w:id="43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（1）承包人应负责提供合同和技术规范规定的试验和检验所需的全部样品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并承担其费用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（2）在合同中明确规定的试验和检验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包括无须在工程量清单中单独列项和已在工程量清单中单独列项的试验和检验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其试验和检验的费用由承包人承担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（3）如果监理人所要求做的试验和检验为合同未规定的或是在该材料或工程设备的制造</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加工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制配场地以外的场所进行的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则检验结束后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如表明操作工艺或材料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工程设备未能符合合同规定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其费用应由承包人承担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否则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其费用应由发包人承担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438" w:name="_Toc18771"/>
      <w:bookmarkStart w:id="439" w:name="_Toc23826"/>
      <w:r>
        <w:rPr>
          <w:rFonts w:hint="eastAsia" w:ascii="宋体" w:hAnsi="宋体" w:eastAsia="宋体" w:cs="宋体"/>
          <w:spacing w:val="14"/>
          <w:sz w:val="24"/>
          <w:szCs w:val="24"/>
        </w:rPr>
        <w:t>15. 变更</w:t>
      </w:r>
      <w:bookmarkEnd w:id="438"/>
      <w:bookmarkEnd w:id="43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40" w:name="_Toc7576"/>
      <w:bookmarkStart w:id="441" w:name="_Toc8401"/>
      <w:r>
        <w:rPr>
          <w:rFonts w:hint="eastAsia" w:ascii="宋体" w:hAnsi="宋体" w:eastAsia="宋体" w:cs="宋体"/>
          <w:spacing w:val="14"/>
          <w:sz w:val="24"/>
          <w:szCs w:val="24"/>
        </w:rPr>
        <w:t>15.1 变更的范围和内容</w:t>
      </w:r>
      <w:bookmarkEnd w:id="440"/>
      <w:bookmarkEnd w:id="44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本款第（1）项细化为：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（1）取消合同中任何一项工作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但被取消的工作不能转由发包人或其他人实施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由于承包人违约造成的情况除外</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42" w:name="_Toc4710"/>
      <w:bookmarkStart w:id="443" w:name="_Toc22436"/>
      <w:r>
        <w:rPr>
          <w:rFonts w:hint="eastAsia" w:ascii="宋体" w:hAnsi="宋体" w:eastAsia="宋体" w:cs="宋体"/>
          <w:spacing w:val="14"/>
          <w:sz w:val="24"/>
          <w:szCs w:val="24"/>
        </w:rPr>
        <w:t>15.3 变更程序</w:t>
      </w:r>
      <w:bookmarkEnd w:id="442"/>
      <w:bookmarkEnd w:id="44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本款补充第 15.3.4 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15.3.4 设计变更程序应执行《公路工程设计变更管理办法》的相关规定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44" w:name="_Toc20200"/>
      <w:bookmarkStart w:id="445" w:name="_Toc8598"/>
      <w:r>
        <w:rPr>
          <w:rFonts w:hint="eastAsia" w:ascii="宋体" w:hAnsi="宋体" w:eastAsia="宋体" w:cs="宋体"/>
          <w:spacing w:val="14"/>
          <w:sz w:val="24"/>
          <w:szCs w:val="24"/>
        </w:rPr>
        <w:t>15.4 变更的估价原则</w:t>
      </w:r>
      <w:bookmarkEnd w:id="444"/>
      <w:bookmarkEnd w:id="44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除项目专用合同条款另有约定外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因变更引起的价格调整按照本款约定处理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15.4.1 如果取消某项工作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则该项工作的总额价不予支付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15.4.2 已标价工程量清单中有适用于变更工作的子目的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采用该子目的单价</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15.4.3 已标价工程量清单中无适用于变更工作的子目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但有类似子目的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可在合理范围内参照类似子目的单价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由监理人按第 3.5 款商定或确定变更工作的单价</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15.4.4 已标价工程量清单中无适用或类似子目的单价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可在综合考虑承包人在投标时所提供的单价分析表的基础上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由监理人按第 3.5 款商定或确定变更工作的单价</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15.4.5 如果本工程的变更指示是因承包人过错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承包人违反合同或承包人责任造成的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则这种违约引起的任何额外费用应由承包人承担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46" w:name="_Toc23214"/>
      <w:bookmarkStart w:id="447" w:name="_Toc14671"/>
      <w:r>
        <w:rPr>
          <w:rFonts w:hint="eastAsia" w:ascii="宋体" w:hAnsi="宋体" w:eastAsia="宋体" w:cs="宋体"/>
          <w:spacing w:val="14"/>
          <w:sz w:val="24"/>
          <w:szCs w:val="24"/>
        </w:rPr>
        <w:t>15.5 承包人的合理化建议</w:t>
      </w:r>
      <w:bookmarkEnd w:id="446"/>
      <w:bookmarkEnd w:id="44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15.5.2 项约定为：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承包人提出的合理化建议缩短了工期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发包人按第 11.6 款的规定给予奖励</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承包人提出的合理化建议降低了合同价格或者提高了工程经济效益的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发包人按项目专用合同条款数据表中规定的金额给予奖励</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48" w:name="_Toc24388"/>
      <w:bookmarkStart w:id="449" w:name="_Toc11531"/>
      <w:r>
        <w:rPr>
          <w:rFonts w:hint="eastAsia" w:ascii="宋体" w:hAnsi="宋体" w:eastAsia="宋体" w:cs="宋体"/>
          <w:spacing w:val="14"/>
          <w:sz w:val="24"/>
          <w:szCs w:val="24"/>
        </w:rPr>
        <w:t>15.6 暂列金额</w:t>
      </w:r>
      <w:bookmarkEnd w:id="448"/>
      <w:bookmarkEnd w:id="44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15.6.1 暂列金额应由监理人报发包人批准后指令全部或部分地使用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或者根本不予动用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15.6.2 对于经发包人批准的每一笔暂列金额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监理人有权向承包人发出实施工程或提供材料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工程设备或服务的指令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这些指令应由承包人完成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监理人应根据第15.4 款约定的变更估价原则和第 15.7 款的规定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对合同价格进行相应调整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15.6.3 当监理人提出要求时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承包人应提供有关暂列金额支出的所有报价单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凭证和账单或收据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除非该工作是根据已标价工程量清单列明的单价或总额价进行的估价</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450" w:name="_Toc12054"/>
      <w:bookmarkStart w:id="451" w:name="_Toc13745"/>
      <w:r>
        <w:rPr>
          <w:rFonts w:hint="eastAsia" w:ascii="宋体" w:hAnsi="宋体" w:eastAsia="宋体" w:cs="宋体"/>
          <w:spacing w:val="14"/>
          <w:sz w:val="24"/>
          <w:szCs w:val="24"/>
        </w:rPr>
        <w:t>16. 价格调整</w:t>
      </w:r>
      <w:bookmarkEnd w:id="450"/>
      <w:bookmarkEnd w:id="45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52" w:name="_Toc26366"/>
      <w:bookmarkStart w:id="453" w:name="_Toc29305"/>
      <w:r>
        <w:rPr>
          <w:rFonts w:hint="eastAsia" w:ascii="宋体" w:hAnsi="宋体" w:eastAsia="宋体" w:cs="宋体"/>
          <w:spacing w:val="14"/>
          <w:sz w:val="24"/>
          <w:szCs w:val="24"/>
        </w:rPr>
        <w:t>16.1 物价波动引起的价格调整</w:t>
      </w:r>
      <w:bookmarkEnd w:id="452"/>
      <w:bookmarkEnd w:id="45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本款约定为：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（1）除项目专用合同条款另有约定外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因物价波动引起的价格调整应按项目专用合同条款数据表的规定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 16.1.1 项或第 16.1.2 项约定的原则处理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（2）在合同执行期间（包括工期拖延期间）由于人工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材料和设备价格的上涨而引起工程施工成本增加的风险由承包人自行承担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合同价格不会因此而调整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16.1.1 采用价格指数调整价格差额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16.1.1.1 价格调整公式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价格调整公式后增加备注如下：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cs="宋体"/>
          <w:sz w:val="24"/>
        </w:rPr>
        <w:object>
          <v:shape id="_x0000_i1026" o:spt="75" type="#_x0000_t75" style="height:37.25pt;width:255.65pt;" o:ole="t" filled="f" o:preferrelative="t" stroked="f" coordsize="21600,21600">
            <v:path/>
            <v:fill on="f" focussize="0,0"/>
            <v:stroke on="f" weight="3pt"/>
            <v:imagedata r:id="rId20" o:title=""/>
            <o:lock v:ext="edit" aspectratio="t"/>
            <w10:wrap type="none"/>
            <w10:anchorlock/>
          </v:shape>
          <o:OLEObject Type="Embed" ProgID="Equation.KSEE3" ShapeID="_x0000_i1026" DrawAspect="Content" ObjectID="_1468075726" r:id="rId21">
            <o:LockedField>false</o:LockedField>
          </o:OLEObject>
        </w:objec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式中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A=1－（B1＋B2＋B3＋……＋Bn）</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本目最后一段文字细化为：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在采用价格调整公式进行调价时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还应遵守以下规定：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（1）以上价格调整公式中的各可调因子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定值权重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以及基本价格指数及其来源由发包人在投标函附录价格指数和权重表中约定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价格指数应首先采用国家或省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自治区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直辖市价格部门或统计部门提供的价格指数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缺乏上述价格指数时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可采用上述部门提供的价格代替</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（2）价格调整公式中的变值权重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由发包人根据项目实际情况测算确定范围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并在投标函附录价格指数和权重表中约定范围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承包人在投标时在此范围内填写各可调因子的权重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合同实施期间将按此权重进行调价</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454" w:name="_Toc17371"/>
      <w:bookmarkStart w:id="455" w:name="_Toc30244"/>
      <w:r>
        <w:rPr>
          <w:rFonts w:hint="eastAsia" w:ascii="宋体" w:hAnsi="宋体" w:eastAsia="宋体" w:cs="宋体"/>
          <w:spacing w:val="14"/>
          <w:sz w:val="24"/>
          <w:szCs w:val="24"/>
        </w:rPr>
        <w:t>17. 计量与支付</w:t>
      </w:r>
      <w:bookmarkEnd w:id="454"/>
      <w:bookmarkEnd w:id="45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56" w:name="_Toc28537"/>
      <w:bookmarkStart w:id="457" w:name="_Toc17036"/>
      <w:r>
        <w:rPr>
          <w:rFonts w:hint="eastAsia" w:ascii="宋体" w:hAnsi="宋体" w:eastAsia="宋体" w:cs="宋体"/>
          <w:spacing w:val="14"/>
          <w:sz w:val="24"/>
          <w:szCs w:val="24"/>
        </w:rPr>
        <w:t>17.1 计量</w:t>
      </w:r>
      <w:bookmarkEnd w:id="456"/>
      <w:bookmarkEnd w:id="45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17.1.2 计量方法</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本项约定为：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工程的计量应以净值为准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除非项目专用合同条款另有约定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工程量清单中各个子目的具体计量方法按本合同文件工程量清单计量规则中的规定执行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17.1.4 单价子目的计量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（7）承包人未在已标价工程量清单中填入单价或总额价的工程子目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将被认为其已包含在本合同的其他子目的单价和总额价中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发包人将不另行支付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17.1.5 总价子目的计量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本项目工程量清单中要求承包人以“总额”方式报价的子目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各子目的支付原则和支付进度按项目专用合同条款的规定执行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58" w:name="_Toc1738"/>
      <w:bookmarkStart w:id="459" w:name="_Toc30254"/>
      <w:r>
        <w:rPr>
          <w:rFonts w:hint="eastAsia" w:ascii="宋体" w:hAnsi="宋体" w:eastAsia="宋体" w:cs="宋体"/>
          <w:spacing w:val="14"/>
          <w:sz w:val="24"/>
          <w:szCs w:val="24"/>
        </w:rPr>
        <w:t>17.2 预付款</w:t>
      </w:r>
      <w:bookmarkEnd w:id="458"/>
      <w:bookmarkEnd w:id="45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17.2.1 预付款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本项约定为：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预付款包括开工预付款和材料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设备预付款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具体额度和预付办法如下：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（1）开工预付款的金额在项目专用合同条款数据表中约定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在承包人签订了合同协议书且承包人承诺的主要设备进场后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监理人应在当期进度付款证书中向承包人支付开工预付款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承包人不得将该预付款用于与本工程无关的支出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监理人有权监督承包人对该项费用的使用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如经查实承包人滥用开工预付款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发包人有权立即向银行索赔履约保证金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并解除合同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设备预付款按项目专用合同条款数据表中所列主要材料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设备单据费用（进口的材料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设备为到岸价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国内采购的为出厂价或销售价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地方材料为堆场价）的百分比支付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其预付条件为：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a. 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设备符合规范要求并经监理人认可</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b. 承包人已出具材料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设备费用凭证或支付单据</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c. 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设备已在现场交货</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且存储良好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监理人认为材料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设备的存储方法符合要求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监理人应将此项金额作为材料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设备预付款计入下一次的进度付款证书中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在预计交工前 3 个月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将不再支付材料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设备预付款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17.2.2 预付款保函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承包人无须向发包人提交预付款保函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发包人向承包人支付的预付款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应按照本合同第 17.2.1 项规定使用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承包人提交的履约保证金对预付款的正常使用承担保证责任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17.2.3 预付款的扣回与还清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本项约定为：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w:t>
      </w:r>
      <w:r>
        <w:rPr>
          <w:rFonts w:hint="eastAsia" w:ascii="宋体" w:hAnsi="宋体" w:eastAsia="宋体" w:cs="宋体"/>
          <w:spacing w:val="14"/>
          <w:sz w:val="24"/>
          <w:szCs w:val="24"/>
          <w:highlight w:val="yellow"/>
        </w:rPr>
        <w:t>开工预付款</w:t>
      </w:r>
      <w:r>
        <w:rPr>
          <w:rFonts w:hint="eastAsia" w:ascii="宋体" w:hAnsi="宋体" w:eastAsia="宋体" w:cs="宋体"/>
          <w:spacing w:val="14"/>
          <w:sz w:val="24"/>
          <w:szCs w:val="24"/>
          <w:highlight w:val="yellow"/>
          <w:lang w:eastAsia="zh-CN"/>
        </w:rPr>
        <w:t>支付金额为合同金额的</w:t>
      </w:r>
      <w:r>
        <w:rPr>
          <w:rFonts w:hint="eastAsia" w:ascii="宋体" w:hAnsi="宋体" w:eastAsia="宋体" w:cs="宋体"/>
          <w:spacing w:val="14"/>
          <w:sz w:val="24"/>
          <w:szCs w:val="24"/>
          <w:highlight w:val="yellow"/>
          <w:lang w:val="en-US" w:eastAsia="zh-CN"/>
        </w:rPr>
        <w:t>15%，</w:t>
      </w:r>
      <w:r>
        <w:rPr>
          <w:rFonts w:hint="eastAsia" w:ascii="宋体" w:hAnsi="宋体" w:eastAsia="宋体" w:cs="宋体"/>
          <w:spacing w:val="14"/>
          <w:sz w:val="24"/>
          <w:szCs w:val="24"/>
          <w:highlight w:val="yellow"/>
        </w:rPr>
        <w:t>在进度付款证书的累计金额未达到签约合同价的</w:t>
      </w:r>
      <w:r>
        <w:rPr>
          <w:rFonts w:hint="eastAsia" w:ascii="宋体" w:hAnsi="宋体" w:eastAsia="宋体" w:cs="宋体"/>
          <w:spacing w:val="14"/>
          <w:sz w:val="24"/>
          <w:szCs w:val="24"/>
          <w:highlight w:val="yellow"/>
          <w:lang w:val="en-US" w:eastAsia="zh-CN"/>
        </w:rPr>
        <w:t>2</w:t>
      </w:r>
      <w:r>
        <w:rPr>
          <w:rFonts w:hint="eastAsia" w:ascii="宋体" w:hAnsi="宋体" w:eastAsia="宋体" w:cs="宋体"/>
          <w:spacing w:val="14"/>
          <w:sz w:val="24"/>
          <w:szCs w:val="24"/>
          <w:highlight w:val="yellow"/>
        </w:rPr>
        <w:t>0%之前不予扣回</w:t>
      </w:r>
      <w:r>
        <w:rPr>
          <w:rFonts w:hint="eastAsia" w:ascii="宋体" w:hAnsi="宋体" w:eastAsia="宋体" w:cs="宋体"/>
          <w:spacing w:val="14"/>
          <w:sz w:val="24"/>
          <w:szCs w:val="24"/>
          <w:highlight w:val="yellow"/>
          <w:lang w:eastAsia="zh-CN"/>
        </w:rPr>
        <w:t>，</w:t>
      </w:r>
      <w:r>
        <w:rPr>
          <w:rFonts w:hint="eastAsia" w:ascii="宋体" w:hAnsi="宋体" w:eastAsia="宋体" w:cs="宋体"/>
          <w:spacing w:val="14"/>
          <w:sz w:val="24"/>
          <w:szCs w:val="24"/>
          <w:highlight w:val="yellow"/>
        </w:rPr>
        <w:t>在达到签约合同价</w:t>
      </w:r>
      <w:r>
        <w:rPr>
          <w:rFonts w:hint="eastAsia" w:ascii="宋体" w:hAnsi="宋体" w:eastAsia="宋体" w:cs="宋体"/>
          <w:spacing w:val="14"/>
          <w:sz w:val="24"/>
          <w:szCs w:val="24"/>
          <w:highlight w:val="yellow"/>
          <w:lang w:val="en-US" w:eastAsia="zh-CN"/>
        </w:rPr>
        <w:t>2</w:t>
      </w:r>
      <w:r>
        <w:rPr>
          <w:rFonts w:hint="eastAsia" w:ascii="宋体" w:hAnsi="宋体" w:eastAsia="宋体" w:cs="宋体"/>
          <w:spacing w:val="14"/>
          <w:sz w:val="24"/>
          <w:szCs w:val="24"/>
          <w:highlight w:val="yellow"/>
        </w:rPr>
        <w:t>0%之后</w:t>
      </w:r>
      <w:r>
        <w:rPr>
          <w:rFonts w:hint="eastAsia" w:ascii="宋体" w:hAnsi="宋体" w:eastAsia="宋体" w:cs="宋体"/>
          <w:spacing w:val="14"/>
          <w:sz w:val="24"/>
          <w:szCs w:val="24"/>
          <w:highlight w:val="yellow"/>
          <w:lang w:eastAsia="zh-CN"/>
        </w:rPr>
        <w:t>，</w:t>
      </w:r>
      <w:r>
        <w:rPr>
          <w:rFonts w:hint="eastAsia" w:ascii="宋体" w:hAnsi="宋体" w:eastAsia="宋体" w:cs="宋体"/>
          <w:spacing w:val="14"/>
          <w:sz w:val="24"/>
          <w:szCs w:val="24"/>
          <w:highlight w:val="yellow"/>
        </w:rPr>
        <w:t>开始按工程进度以固定比例（即每完成签约合同价的 1%</w:t>
      </w:r>
      <w:r>
        <w:rPr>
          <w:rFonts w:hint="eastAsia" w:ascii="宋体" w:hAnsi="宋体" w:eastAsia="宋体" w:cs="宋体"/>
          <w:spacing w:val="14"/>
          <w:sz w:val="24"/>
          <w:szCs w:val="24"/>
          <w:highlight w:val="yellow"/>
          <w:lang w:eastAsia="zh-CN"/>
        </w:rPr>
        <w:t>，</w:t>
      </w:r>
      <w:r>
        <w:rPr>
          <w:rFonts w:hint="eastAsia" w:ascii="宋体" w:hAnsi="宋体" w:eastAsia="宋体" w:cs="宋体"/>
          <w:spacing w:val="14"/>
          <w:sz w:val="24"/>
          <w:szCs w:val="24"/>
          <w:highlight w:val="yellow"/>
        </w:rPr>
        <w:t>扣回开工预付款的 2%）分期从各月的进度付款证书中扣回</w:t>
      </w:r>
      <w:r>
        <w:rPr>
          <w:rFonts w:hint="eastAsia" w:ascii="宋体" w:hAnsi="宋体" w:eastAsia="宋体" w:cs="宋体"/>
          <w:spacing w:val="14"/>
          <w:sz w:val="24"/>
          <w:szCs w:val="24"/>
          <w:highlight w:val="yellow"/>
          <w:lang w:eastAsia="zh-CN"/>
        </w:rPr>
        <w:t>，</w:t>
      </w:r>
      <w:r>
        <w:rPr>
          <w:rFonts w:hint="eastAsia" w:ascii="宋体" w:hAnsi="宋体" w:eastAsia="宋体" w:cs="宋体"/>
          <w:spacing w:val="14"/>
          <w:sz w:val="24"/>
          <w:szCs w:val="24"/>
          <w:highlight w:val="yellow"/>
        </w:rPr>
        <w:t>全部金额在进度付款证书的累计金额达到签约合同价的</w:t>
      </w:r>
      <w:r>
        <w:rPr>
          <w:rFonts w:hint="eastAsia" w:ascii="宋体" w:hAnsi="宋体" w:eastAsia="宋体" w:cs="宋体"/>
          <w:spacing w:val="14"/>
          <w:sz w:val="24"/>
          <w:szCs w:val="24"/>
          <w:highlight w:val="yellow"/>
          <w:lang w:val="en-US" w:eastAsia="zh-CN"/>
        </w:rPr>
        <w:t>7</w:t>
      </w:r>
      <w:r>
        <w:rPr>
          <w:rFonts w:hint="eastAsia" w:ascii="宋体" w:hAnsi="宋体" w:eastAsia="宋体" w:cs="宋体"/>
          <w:spacing w:val="14"/>
          <w:sz w:val="24"/>
          <w:szCs w:val="24"/>
          <w:highlight w:val="yellow"/>
        </w:rPr>
        <w:t>0%时扣完</w:t>
      </w:r>
      <w:r>
        <w:rPr>
          <w:rFonts w:hint="eastAsia" w:ascii="宋体" w:hAnsi="宋体" w:eastAsia="宋体" w:cs="宋体"/>
          <w:spacing w:val="14"/>
          <w:sz w:val="24"/>
          <w:szCs w:val="24"/>
          <w:highlight w:val="yellow"/>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（2）当材料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设备已用于或安装在永久工程之中时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设备预付款应从进度付款证书中扣回</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扣回期不超过 3 个月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已经支付材料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设备预付款的材料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设备的所有权应属于发包人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60" w:name="_Toc5336"/>
      <w:bookmarkStart w:id="461" w:name="_Toc28315"/>
      <w:r>
        <w:rPr>
          <w:rFonts w:hint="eastAsia" w:ascii="宋体" w:hAnsi="宋体" w:eastAsia="宋体" w:cs="宋体"/>
          <w:spacing w:val="14"/>
          <w:sz w:val="24"/>
          <w:szCs w:val="24"/>
        </w:rPr>
        <w:t>17.3 工程进度付款</w:t>
      </w:r>
      <w:bookmarkEnd w:id="460"/>
      <w:bookmarkEnd w:id="46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17.3.3 进度付款证书和支付时间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本项（1）目补充：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如果该付款周期应结算的价款经扣留和扣回后的款额少于项目专用合同条款数据表中列明的进度付款证书的最低金额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则该付款周期监理人可不核证支付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上述款额将按付款周期结转</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直至累计应支付的款额达到项目专用合同条款数据表中列明的进度付款证书的最低金额为止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本项（2）目细化为：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发包人应在监理人收到进度付款申请单且承包人提交了合格的增值税专用发票后的 28 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将进度应付款支付给承包人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发包人不按期支付的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按项目专用合同条款数据表中约定的利率向承包人支付逾期付款违约金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违约金计算基数为发包人的全部未付款额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时间从应付而未付该款额之日算起（不计复利）</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本款补充第 17.3.5 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17.3.5 农民工工资保证金</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highlight w:val="yellow"/>
        </w:rPr>
      </w:pPr>
      <w:bookmarkStart w:id="462" w:name="_Toc29232"/>
      <w:bookmarkStart w:id="463" w:name="_Toc18108"/>
      <w:r>
        <w:rPr>
          <w:rFonts w:hint="eastAsia" w:ascii="宋体" w:hAnsi="宋体" w:eastAsia="宋体" w:cs="宋体"/>
          <w:spacing w:val="14"/>
          <w:sz w:val="24"/>
          <w:szCs w:val="24"/>
          <w:highlight w:val="yellow"/>
        </w:rPr>
        <w:t>（1）扣留当期计量金额的</w:t>
      </w:r>
      <w:r>
        <w:rPr>
          <w:rFonts w:hint="eastAsia" w:ascii="宋体" w:hAnsi="宋体" w:eastAsia="宋体" w:cs="宋体"/>
          <w:spacing w:val="14"/>
          <w:sz w:val="24"/>
          <w:szCs w:val="24"/>
          <w:highlight w:val="yellow"/>
          <w:lang w:val="en-US" w:eastAsia="zh-CN"/>
        </w:rPr>
        <w:t>1.5</w:t>
      </w:r>
      <w:r>
        <w:rPr>
          <w:rFonts w:hint="eastAsia" w:ascii="宋体" w:hAnsi="宋体" w:eastAsia="宋体" w:cs="宋体"/>
          <w:spacing w:val="14"/>
          <w:sz w:val="24"/>
          <w:szCs w:val="24"/>
          <w:highlight w:val="yellow"/>
        </w:rPr>
        <w:t>%，农民工保证金限额：累计计量金额的</w:t>
      </w:r>
      <w:r>
        <w:rPr>
          <w:rFonts w:hint="eastAsia" w:ascii="宋体" w:hAnsi="宋体" w:eastAsia="宋体" w:cs="宋体"/>
          <w:spacing w:val="14"/>
          <w:sz w:val="24"/>
          <w:szCs w:val="24"/>
          <w:highlight w:val="yellow"/>
          <w:lang w:val="en-US" w:eastAsia="zh-CN"/>
        </w:rPr>
        <w:t>1.5</w:t>
      </w:r>
      <w:r>
        <w:rPr>
          <w:rFonts w:hint="eastAsia" w:ascii="宋体" w:hAnsi="宋体" w:eastAsia="宋体" w:cs="宋体"/>
          <w:spacing w:val="14"/>
          <w:sz w:val="24"/>
          <w:szCs w:val="24"/>
          <w:highlight w:val="yellow"/>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（2）为确保施工过程中农民工工资实时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足额发放到位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承包人应按照项目专用合同条款约定的时间和金额缴存农民工工资保证金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w:t>
      </w:r>
      <w:r>
        <w:rPr>
          <w:rFonts w:hint="eastAsia" w:ascii="宋体" w:hAnsi="宋体" w:eastAsia="宋体" w:cs="宋体"/>
          <w:spacing w:val="14"/>
          <w:sz w:val="24"/>
          <w:szCs w:val="24"/>
          <w:lang w:val="en-US" w:eastAsia="zh-CN"/>
        </w:rPr>
        <w:t>3</w:t>
      </w:r>
      <w:r>
        <w:rPr>
          <w:rFonts w:hint="eastAsia" w:ascii="宋体" w:hAnsi="宋体" w:eastAsia="宋体" w:cs="宋体"/>
          <w:spacing w:val="14"/>
          <w:sz w:val="24"/>
          <w:szCs w:val="24"/>
        </w:rPr>
        <w:t>）农民工工资保证金可采用银行保函或现金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支票形式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采用银行保函时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出具保函的银行须具有相应担保能力</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且按照发包人批准的格式出具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所需费用由承包人承担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w:t>
      </w:r>
      <w:r>
        <w:rPr>
          <w:rFonts w:hint="eastAsia" w:ascii="宋体" w:hAnsi="宋体" w:eastAsia="宋体" w:cs="宋体"/>
          <w:spacing w:val="14"/>
          <w:sz w:val="24"/>
          <w:szCs w:val="24"/>
          <w:lang w:val="en-US" w:eastAsia="zh-CN"/>
        </w:rPr>
        <w:t>4</w:t>
      </w:r>
      <w:r>
        <w:rPr>
          <w:rFonts w:hint="eastAsia" w:ascii="宋体" w:hAnsi="宋体" w:eastAsia="宋体" w:cs="宋体"/>
          <w:spacing w:val="14"/>
          <w:sz w:val="24"/>
          <w:szCs w:val="24"/>
        </w:rPr>
        <w:t>）农民工工资保证金的扣留条件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返还时间按照项目专用合同条款的约定执行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r>
        <w:rPr>
          <w:rFonts w:hint="eastAsia" w:ascii="宋体" w:hAnsi="宋体" w:eastAsia="宋体" w:cs="宋体"/>
          <w:spacing w:val="14"/>
          <w:sz w:val="24"/>
          <w:szCs w:val="24"/>
        </w:rPr>
        <w:t>17.4 质量保证金</w:t>
      </w:r>
      <w:bookmarkEnd w:id="462"/>
      <w:bookmarkEnd w:id="46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17.4.1 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第 17.4.2 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17.4.1 交工验收证书签发后 14 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承包人应向发包人缴纳质量保证金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质量保证金可采用银行保函或现金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支票形式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金额应符合项目专用合同条款数据表的规定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采用银行保函时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出具保函的银行须具有相应担保能力</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且按照发包人批准的格式出具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所需费用由承包人承担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质量保证金采用现金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支票形式提交的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发包人应在项目专用合同条款数据表中明确是否计付利息以及利息的计算方式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17.4.2 在第 1.1.4.5 目约定的缺陷责任期满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且质量监督机构已按规定对工程质量检测鉴定合格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承包人向发包人申请到期应返还承包人剩余的质量保证金金额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 14 天内会同承包人按照合同约定的内容核实承包人是否完成缺陷责任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如无异议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发包人应当在核实后将剩余保证金返还承包人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bookmarkStart w:id="464" w:name="_Toc30998"/>
      <w:bookmarkStart w:id="465" w:name="_Toc18446"/>
      <w:r>
        <w:rPr>
          <w:rFonts w:hint="eastAsia" w:ascii="宋体" w:hAnsi="宋体" w:eastAsia="宋体" w:cs="宋体"/>
          <w:spacing w:val="14"/>
          <w:sz w:val="24"/>
          <w:szCs w:val="24"/>
          <w:highlight w:val="yellow"/>
          <w:lang w:val="en-US" w:eastAsia="zh-CN"/>
        </w:rPr>
        <w:t>补充：</w:t>
      </w:r>
      <w:r>
        <w:rPr>
          <w:rFonts w:hint="eastAsia" w:ascii="宋体" w:hAnsi="宋体" w:eastAsia="宋体" w:cs="宋体"/>
          <w:spacing w:val="14"/>
          <w:sz w:val="24"/>
          <w:szCs w:val="24"/>
          <w:highlight w:val="yellow"/>
          <w:lang w:eastAsia="zh-CN"/>
        </w:rPr>
        <w:t>质量保证金在支付工程进度款时逐次扣留，质量保证金的计算基数不包括预付款的支付、扣回以及价格调整的金额，扣回基数为本期计量金额，扣回比例为</w:t>
      </w:r>
      <w:r>
        <w:rPr>
          <w:rFonts w:hint="eastAsia" w:ascii="宋体" w:hAnsi="宋体" w:eastAsia="宋体" w:cs="宋体"/>
          <w:spacing w:val="14"/>
          <w:sz w:val="24"/>
          <w:szCs w:val="24"/>
          <w:highlight w:val="yellow"/>
          <w:lang w:val="en-US" w:eastAsia="zh-CN"/>
        </w:rPr>
        <w:t>2</w:t>
      </w:r>
      <w:r>
        <w:rPr>
          <w:rFonts w:hint="eastAsia" w:ascii="宋体" w:hAnsi="宋体" w:eastAsia="宋体" w:cs="宋体"/>
          <w:spacing w:val="14"/>
          <w:sz w:val="24"/>
          <w:szCs w:val="24"/>
          <w:highlight w:val="yellow"/>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r>
        <w:rPr>
          <w:rFonts w:hint="eastAsia" w:ascii="宋体" w:hAnsi="宋体" w:eastAsia="宋体" w:cs="宋体"/>
          <w:spacing w:val="14"/>
          <w:sz w:val="24"/>
          <w:szCs w:val="24"/>
        </w:rPr>
        <w:t>17.5 交工结算</w:t>
      </w:r>
      <w:bookmarkEnd w:id="464"/>
      <w:bookmarkEnd w:id="46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17.5.1 交工付款申请单</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本项（1）目约定为：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承包人向监理人提交交工付款申请单（包括相关证明材料）的份数在项目专用合同条款数据表中约定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期限：交工验收证书签发后 42 天内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17.5.2 交工付款证书及支付时间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本项（2）目细化为：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发包人应在监理人出具交工付款证书且承包人提交了合格的增值税专用发票后的 14 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将应支付款支付给承包人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发包人不按期支付的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按第 17.3.3（2）目的约定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将逾期付款违约金支付给承包人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66" w:name="_Toc26313"/>
      <w:bookmarkStart w:id="467" w:name="_Toc15782"/>
      <w:r>
        <w:rPr>
          <w:rFonts w:hint="eastAsia" w:ascii="宋体" w:hAnsi="宋体" w:eastAsia="宋体" w:cs="宋体"/>
          <w:spacing w:val="14"/>
          <w:sz w:val="24"/>
          <w:szCs w:val="24"/>
        </w:rPr>
        <w:t>17.6 最终结清</w:t>
      </w:r>
      <w:bookmarkEnd w:id="466"/>
      <w:bookmarkEnd w:id="46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17.6.1 最终结清申请单</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本项（1）目约定为：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承包人向监理人提交最终结清申请单（包括相关证明材料）的份数在项目专用合同条款数据表中约定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期限：缺陷责任期终止证书签发后 28 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最终结清申请单中的总金额应认为是代表了根据合同规定应付给承包人的全部款项的最后结算</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17.6.2 最终结清证书和支付时间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本项（2）目细化为：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（2）发包人应在监理人出具最终结清证书且承包人提交了合格的增值税专用发票后的 14 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将应支付款支付给承包人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发包人不按期支付的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按第 17.3.3（2）目的约定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将逾期付款违约金支付给承包人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468" w:name="_Toc14574"/>
      <w:bookmarkStart w:id="469" w:name="_Toc27684"/>
      <w:r>
        <w:rPr>
          <w:rFonts w:hint="eastAsia" w:ascii="宋体" w:hAnsi="宋体" w:eastAsia="宋体" w:cs="宋体"/>
          <w:spacing w:val="14"/>
          <w:sz w:val="24"/>
          <w:szCs w:val="24"/>
        </w:rPr>
        <w:t>18. 交工验收</w:t>
      </w:r>
      <w:bookmarkEnd w:id="468"/>
      <w:bookmarkEnd w:id="46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70" w:name="_Toc18803"/>
      <w:bookmarkStart w:id="471" w:name="_Toc32521"/>
      <w:r>
        <w:rPr>
          <w:rFonts w:hint="eastAsia" w:ascii="宋体" w:hAnsi="宋体" w:eastAsia="宋体" w:cs="宋体"/>
          <w:spacing w:val="14"/>
          <w:sz w:val="24"/>
          <w:szCs w:val="24"/>
        </w:rPr>
        <w:t>18.2 交工验收申请报告</w:t>
      </w:r>
      <w:bookmarkEnd w:id="470"/>
      <w:bookmarkEnd w:id="47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本款第（2）项约定为：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竣工资料的内容：承包人应按照《公路工程竣（交）工验收办法》和相关规定编制竣工资料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竣工资料的份数在项目专用合同条款数据表中约定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72" w:name="_Toc14583"/>
      <w:bookmarkStart w:id="473" w:name="_Toc18091"/>
      <w:r>
        <w:rPr>
          <w:rFonts w:hint="eastAsia" w:ascii="宋体" w:hAnsi="宋体" w:eastAsia="宋体" w:cs="宋体"/>
          <w:spacing w:val="14"/>
          <w:sz w:val="24"/>
          <w:szCs w:val="24"/>
        </w:rPr>
        <w:t>18.3 验收</w:t>
      </w:r>
      <w:bookmarkEnd w:id="472"/>
      <w:bookmarkEnd w:id="47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18.3.2 项补充：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交工验收由发包人主持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质监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运营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管理养护等有关部门代表组成交工验收小组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对本项目的工程质量进行评定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并写出交 工验收报告报交通运输主管部门备案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承包人应按发包人的要求提交竣工资料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完成交工验收准备工作</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18.3.5 项约定为：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经验收合格工程的实际交工日期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以最终提交交工验收申请报告的日期为准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并在交工验收证书中写明</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本款补充第 18.3.7 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组织办理交工验收和签发交工验收证书的费用由发包人承担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但按照第 18.3.4项规定达不到合格标准的交工验收费用由承包人承担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本条补充第 18.9 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74" w:name="_Toc9574"/>
      <w:bookmarkStart w:id="475" w:name="_Toc7302"/>
      <w:r>
        <w:rPr>
          <w:rFonts w:hint="eastAsia" w:ascii="宋体" w:hAnsi="宋体" w:eastAsia="宋体" w:cs="宋体"/>
          <w:spacing w:val="14"/>
          <w:sz w:val="24"/>
          <w:szCs w:val="24"/>
        </w:rPr>
        <w:t>18.9 竣工文件</w:t>
      </w:r>
      <w:bookmarkEnd w:id="474"/>
      <w:bookmarkEnd w:id="47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承包人应按照《公路工程竣（交）工验收办法》的相关规定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在缺陷责任期内为竣工验收补充竣工资料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并在签发缺陷责任期终止证书之前提交</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476" w:name="_Toc19361"/>
      <w:bookmarkStart w:id="477" w:name="_Toc5273"/>
      <w:r>
        <w:rPr>
          <w:rFonts w:hint="eastAsia" w:ascii="宋体" w:hAnsi="宋体" w:eastAsia="宋体" w:cs="宋体"/>
          <w:spacing w:val="14"/>
          <w:sz w:val="24"/>
          <w:szCs w:val="24"/>
        </w:rPr>
        <w:t>19. 缺陷责任与保修责任</w:t>
      </w:r>
      <w:bookmarkEnd w:id="476"/>
      <w:bookmarkEnd w:id="47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78" w:name="_Toc14638"/>
      <w:bookmarkStart w:id="479" w:name="_Toc18297"/>
      <w:r>
        <w:rPr>
          <w:rFonts w:hint="eastAsia" w:ascii="宋体" w:hAnsi="宋体" w:eastAsia="宋体" w:cs="宋体"/>
          <w:spacing w:val="14"/>
          <w:sz w:val="24"/>
          <w:szCs w:val="24"/>
        </w:rPr>
        <w:t>19.2 缺陷责任</w:t>
      </w:r>
      <w:bookmarkEnd w:id="478"/>
      <w:bookmarkEnd w:id="47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19.2.2 项补充：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在缺陷责任期内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承包人应尽快完成在交工验收证书中写明的未完成工作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并完成对本工程缺陷的修复或监理人指令的修补工作</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80" w:name="_Toc1488"/>
      <w:bookmarkStart w:id="481" w:name="_Toc9960"/>
      <w:r>
        <w:rPr>
          <w:rFonts w:hint="eastAsia" w:ascii="宋体" w:hAnsi="宋体" w:eastAsia="宋体" w:cs="宋体"/>
          <w:spacing w:val="14"/>
          <w:sz w:val="24"/>
          <w:szCs w:val="24"/>
        </w:rPr>
        <w:t>19.5 承包人的进入权</w:t>
      </w:r>
      <w:bookmarkEnd w:id="480"/>
      <w:bookmarkEnd w:id="48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承包人在缺陷修复施工过程中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应服从管养单位的有关安全管理规定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由于承包人自身原因造成的人员伤亡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设备和材料的损毁及罚款等责任由承包人自负</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82" w:name="_Toc32246"/>
      <w:bookmarkStart w:id="483" w:name="_Toc1131"/>
      <w:r>
        <w:rPr>
          <w:rFonts w:hint="eastAsia" w:ascii="宋体" w:hAnsi="宋体" w:eastAsia="宋体" w:cs="宋体"/>
          <w:spacing w:val="14"/>
          <w:sz w:val="24"/>
          <w:szCs w:val="24"/>
        </w:rPr>
        <w:t>19.7 保修责任</w:t>
      </w:r>
      <w:bookmarkEnd w:id="482"/>
      <w:bookmarkEnd w:id="48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（1）保修期自实际交工日期起计算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具体期限在项目专用合同条款数据表中约定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保修期与缺陷责任期重叠的期间内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承包人的保修责任同缺陷责任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在缺陷责任期满后的保修期内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承包人可不在工地留有办事人员和机械设备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但必须随时与发包人保持联系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在保修期内承包人应对由于施工质量原因造成的损坏自费进行修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复</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（2）在全部工程交工验收前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已经发包人提前验收的单位工程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其保修期的起算日期相应提前</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（3）工程保修期终止后 28 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监理人签发保修期终止证书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（4）若承包人不履行保修义务和责任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则承包人应承担由于违约造成的法律后果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并由发包人将其违约行为上报省级交通运输主管部门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作为不良记录纳入公路建设市场信用信息管理系统</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484" w:name="_Toc23138"/>
      <w:bookmarkStart w:id="485" w:name="_Toc5075"/>
      <w:r>
        <w:rPr>
          <w:rFonts w:hint="eastAsia" w:ascii="宋体" w:hAnsi="宋体" w:eastAsia="宋体" w:cs="宋体"/>
          <w:spacing w:val="14"/>
          <w:sz w:val="24"/>
          <w:szCs w:val="24"/>
        </w:rPr>
        <w:t>20. 保险</w:t>
      </w:r>
      <w:bookmarkEnd w:id="484"/>
      <w:bookmarkEnd w:id="48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86" w:name="_Toc19969"/>
      <w:bookmarkStart w:id="487" w:name="_Toc10026"/>
      <w:r>
        <w:rPr>
          <w:rFonts w:hint="eastAsia" w:ascii="宋体" w:hAnsi="宋体" w:eastAsia="宋体" w:cs="宋体"/>
          <w:spacing w:val="14"/>
          <w:sz w:val="24"/>
          <w:szCs w:val="24"/>
        </w:rPr>
        <w:t>20.1 工程保险</w:t>
      </w:r>
      <w:bookmarkEnd w:id="486"/>
      <w:bookmarkEnd w:id="48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本款约定为：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建筑工程一切险的投保内容：为本合同工程的永久工程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临时工程和设备及已运至施工工地用于永久工程的材料和设备所投的保险</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保险金额：工程量清单第 100 章（不含建筑工程一切险及第三者责任险的保险费）至第 700 章的合计金额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保险费率：在项目专用合同条款数据表中约定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保险期限：开工日起直至本合同工程签发缺陷责任期终止证书止（即合同工期＋缺陷责任期）</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承包人应以发包人和承包人的共同名义投保建筑工程一切险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建筑工程一切险的保险费由承包人报价时列入工程量清单第 100 章内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发包人在接到保险单后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将按照保险单的费用直接向承包人支付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88" w:name="_Toc17977"/>
      <w:bookmarkStart w:id="489" w:name="_Toc2068"/>
      <w:r>
        <w:rPr>
          <w:rFonts w:hint="eastAsia" w:ascii="宋体" w:hAnsi="宋体" w:eastAsia="宋体" w:cs="宋体"/>
          <w:spacing w:val="14"/>
          <w:sz w:val="24"/>
          <w:szCs w:val="24"/>
        </w:rPr>
        <w:t>20.4 第三者责任险</w:t>
      </w:r>
      <w:bookmarkEnd w:id="488"/>
      <w:bookmarkEnd w:id="48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20.4.2 项补充：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第三者责任险的保险费由承包人报价时列入工程量清单第 100 章内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发包人在接到保险单后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将按照保险单的费用直接向承包人支付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90" w:name="_Toc17542"/>
      <w:bookmarkStart w:id="491" w:name="_Toc19507"/>
      <w:r>
        <w:rPr>
          <w:rFonts w:hint="eastAsia" w:ascii="宋体" w:hAnsi="宋体" w:eastAsia="宋体" w:cs="宋体"/>
          <w:spacing w:val="14"/>
          <w:sz w:val="24"/>
          <w:szCs w:val="24"/>
        </w:rPr>
        <w:t>20.5 其他保险</w:t>
      </w:r>
      <w:bookmarkEnd w:id="490"/>
      <w:bookmarkEnd w:id="49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本款约定为：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承包人应为其施工设备等办理保险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其投保金额应足以现场重置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办理本款保险的一切费用均由承包人承担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并包括在工程量清单的单价及总额价中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发包人不单独支付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92" w:name="_Toc13344"/>
      <w:bookmarkStart w:id="493" w:name="_Toc25662"/>
      <w:r>
        <w:rPr>
          <w:rFonts w:hint="eastAsia" w:ascii="宋体" w:hAnsi="宋体" w:eastAsia="宋体" w:cs="宋体"/>
          <w:spacing w:val="14"/>
          <w:sz w:val="24"/>
          <w:szCs w:val="24"/>
        </w:rPr>
        <w:t>20.6 对各项保险的一般要求</w:t>
      </w:r>
      <w:bookmarkEnd w:id="492"/>
      <w:bookmarkEnd w:id="49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20.6.1 保险凭证</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本项约定为：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承包人向发包人提交各项保险生效的证据和保险单副本的期限：开工后 56 天内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20.6.3 持续保险</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在整个合同期内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承包人应按合同条款规定保证足够的保险额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20.6.4 保险金不足的补偿</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保险金不足以补偿损失的（包括免赔额和超过赔偿限额的部分）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应由承包人和（或）发包人按合同约定负责补偿</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20.6.5 未按约定投保的补救</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本项（2）目细化为：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（2）由于负有投保义务的一方当事人未按合同约定办理某项保险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或未按保险单规定的条件和期限及时向保险人报告事故情况</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或未按要求的保险期限进行投保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或未按要求投保足够的保险金额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导致受益人未能或未能全部得到保险人的赔偿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原应从该项保险得到的保险金应由负有投保义务的一方当事人支付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494" w:name="_Toc28415"/>
      <w:bookmarkStart w:id="495" w:name="_Toc31893"/>
      <w:r>
        <w:rPr>
          <w:rFonts w:hint="eastAsia" w:ascii="宋体" w:hAnsi="宋体" w:eastAsia="宋体" w:cs="宋体"/>
          <w:spacing w:val="14"/>
          <w:sz w:val="24"/>
          <w:szCs w:val="24"/>
        </w:rPr>
        <w:t>21. 不可抗力</w:t>
      </w:r>
      <w:bookmarkEnd w:id="494"/>
      <w:bookmarkEnd w:id="49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96" w:name="_Toc10518"/>
      <w:bookmarkStart w:id="497" w:name="_Toc1480"/>
      <w:r>
        <w:rPr>
          <w:rFonts w:hint="eastAsia" w:ascii="宋体" w:hAnsi="宋体" w:eastAsia="宋体" w:cs="宋体"/>
          <w:spacing w:val="14"/>
          <w:sz w:val="24"/>
          <w:szCs w:val="24"/>
        </w:rPr>
        <w:t>21.1 不可抗力的确认</w:t>
      </w:r>
      <w:bookmarkEnd w:id="496"/>
      <w:bookmarkEnd w:id="49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21.1.1 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不可抗力是指承包人和发包人在订立合同时不可预见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在工程施工过程中不可避免发生并不能克服的自然灾害和社会性突发事件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包括但不限于：</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（1）地震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海啸</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火山爆发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泥石流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暴雨（雪）</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台风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龙卷风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水灾等自然灾害</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（2）战争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骚乱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暴动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但纯属承包人或其分包人派遣与雇用的人员由于本合同工程施工原因引起者除外</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（3）核反应</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辐射或放射性污染</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（4）空中飞行物体坠落或非发包人或承包人责任造成的爆炸</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火灾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（5）瘟疫</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（6）项目专用合同条款约定的其他情形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98" w:name="_Toc32240"/>
      <w:bookmarkStart w:id="499" w:name="_Toc15924"/>
      <w:r>
        <w:rPr>
          <w:rFonts w:hint="eastAsia" w:ascii="宋体" w:hAnsi="宋体" w:eastAsia="宋体" w:cs="宋体"/>
          <w:spacing w:val="14"/>
          <w:sz w:val="24"/>
          <w:szCs w:val="24"/>
        </w:rPr>
        <w:t>21.3 不可抗力后果及其处理</w:t>
      </w:r>
      <w:bookmarkEnd w:id="498"/>
      <w:bookmarkEnd w:id="49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21.3.4 因不可抗力解除合同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合同一方当事人因不可抗力不能履行合同的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应当及时通知对方解除合同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合同解除后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承包人应按照第 22.2.5 项约定撤离施工场地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已经订货的材料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设备由订货方负责退货或解除订货合同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不能退还的货款和因退货</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解除订货合同发生的费用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因未及时退货造成的损失由责任方承担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合同解除后的付款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参照第 22.2.4 项约定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由监理人按第 3.5 款商定或确定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但由于解除合同应赔偿的承包人损失不予考虑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500" w:name="_Toc26596"/>
      <w:bookmarkStart w:id="501" w:name="_Toc32105"/>
      <w:r>
        <w:rPr>
          <w:rFonts w:hint="eastAsia" w:ascii="宋体" w:hAnsi="宋体" w:eastAsia="宋体" w:cs="宋体"/>
          <w:spacing w:val="14"/>
          <w:sz w:val="24"/>
          <w:szCs w:val="24"/>
        </w:rPr>
        <w:t>22. 违约</w:t>
      </w:r>
      <w:bookmarkEnd w:id="500"/>
      <w:bookmarkEnd w:id="50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02" w:name="_Toc23284"/>
      <w:bookmarkStart w:id="503" w:name="_Toc6354"/>
      <w:r>
        <w:rPr>
          <w:rFonts w:hint="eastAsia" w:ascii="宋体" w:hAnsi="宋体" w:eastAsia="宋体" w:cs="宋体"/>
          <w:spacing w:val="14"/>
          <w:sz w:val="24"/>
          <w:szCs w:val="24"/>
        </w:rPr>
        <w:t>22.1 承包人违约</w:t>
      </w:r>
      <w:bookmarkEnd w:id="502"/>
      <w:bookmarkEnd w:id="50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22.1.1 承包人违约的情形</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本项（2）目细化为：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（2）承包人违反第 5.3 款或第 6.4 款的约定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未经监理人批准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私自将已按合同约定进入施工场地的施工设备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临时设施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材料或工程设备撤离施工场地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本项（7）目细化为：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（7）承包人未能按期开工</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（8）承包人违反第 4.6 款或第 6.3 款的规定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未按承诺或未按监理人的要求及时配备称职的主要管理人员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技术骨干或关键施工设备</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（9）经监理人和发包人检查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发现承包人有安全问题或有违反安全管理规章制度的情况</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（10）承包人不按合同约定履行义务的其他情况</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22.1.2 对承包人违约的处理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（4）承包人发生第 22.1.1 项约定的违约情况时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无论发包人是否解除合同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发包人均有权向承包人课以项目专用合同条款中规定的违约金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并由发包人将其违约行为上报省级交通运输主管部门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作为不良记录纳入公路建设市场信用信息管理系统</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04" w:name="_Toc13938"/>
      <w:bookmarkStart w:id="505" w:name="_Toc32111"/>
      <w:r>
        <w:rPr>
          <w:rFonts w:hint="eastAsia" w:ascii="宋体" w:hAnsi="宋体" w:eastAsia="宋体" w:cs="宋体"/>
          <w:spacing w:val="14"/>
          <w:sz w:val="24"/>
          <w:szCs w:val="24"/>
        </w:rPr>
        <w:t>22.2 发包人违约</w:t>
      </w:r>
      <w:bookmarkEnd w:id="504"/>
      <w:bookmarkEnd w:id="50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22.2.1 发包人违约的情形</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本项（5）目细化为：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（5）发包人无正当理由不按时返还履约保证金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质量保证金或农民工工资保证金的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（6）发包人不履行合同约定其他义务的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22.2.2 承包人有权暂停施工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发包人发生除第 22.2.1（4）</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（5）目以外的违约情况时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承包人可向发包人发出通知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要求发包人采取有效措施纠正违约行为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发包人收到承包人通知后的 28 天内仍不履行合同义务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承包人有权暂停施工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并通知监理人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发包人应承担由此增加的费用和（或）工期延误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并支付承包人合理利润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发包人发生第 22.2.1（5）目的违约情况时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承包人可向发包人发出通知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要求发包人采取有效措施纠正违约行为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发包人收到承包人通知后的 28 天内仍不返还履约保证金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质量保证金或农民工工资保证金的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发包人应按项目专用合同条款的约定向承包人支付逾期返还保证金的违约金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22.2.4 解除合同后的付款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本项（2）目细化为：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（2）承包人为该工程施工订购并已付款的材料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工程设备和其他物品的金额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发包人付款后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该材料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工程设备和其他物品归发包人所有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506" w:name="_Toc9534"/>
      <w:bookmarkStart w:id="507" w:name="_Toc28571"/>
      <w:r>
        <w:rPr>
          <w:rFonts w:hint="eastAsia" w:ascii="宋体" w:hAnsi="宋体" w:eastAsia="宋体" w:cs="宋体"/>
          <w:spacing w:val="14"/>
          <w:sz w:val="24"/>
          <w:szCs w:val="24"/>
        </w:rPr>
        <w:t>23. 索赔</w:t>
      </w:r>
      <w:bookmarkEnd w:id="506"/>
      <w:bookmarkEnd w:id="50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08" w:name="_Toc32334"/>
      <w:bookmarkStart w:id="509" w:name="_Toc25635"/>
      <w:r>
        <w:rPr>
          <w:rFonts w:hint="eastAsia" w:ascii="宋体" w:hAnsi="宋体" w:eastAsia="宋体" w:cs="宋体"/>
          <w:spacing w:val="14"/>
          <w:sz w:val="24"/>
          <w:szCs w:val="24"/>
        </w:rPr>
        <w:t>23.1 承包人索赔的提出</w:t>
      </w:r>
      <w:bookmarkEnd w:id="508"/>
      <w:bookmarkEnd w:id="50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本款第（4）项细化为：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（4）在索赔事件影响结束后的 28 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承包人应向监理人递交最终索赔通知书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说明最终要求索赔的追加付款金额和（或）延长的工期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并附必要的记录和证明材料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10" w:name="_Toc19794"/>
      <w:bookmarkStart w:id="511" w:name="_Toc23982"/>
      <w:r>
        <w:rPr>
          <w:rFonts w:hint="eastAsia" w:ascii="宋体" w:hAnsi="宋体" w:eastAsia="宋体" w:cs="宋体"/>
          <w:spacing w:val="14"/>
          <w:sz w:val="24"/>
          <w:szCs w:val="24"/>
        </w:rPr>
        <w:t>23.2 承包人索赔处理程序</w:t>
      </w:r>
      <w:bookmarkEnd w:id="510"/>
      <w:bookmarkEnd w:id="51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本款第（2）项细化为：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（2）监理人应按第 3.5 款商定或确定追加的付款和（或）延长的工期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并在收到上述索赔通知书或有关索赔的进一步证明材料后的 42 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将索赔处理结果报发包人批准后答复承包人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如果承包人提出的索赔要求未能遵守第 23.1（2）~（4）项的规定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则承包人只限于索赔由监理人按当时记录予以核实的那部分款额和（或）工期延长天数</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512" w:name="_Toc1554"/>
      <w:bookmarkStart w:id="513" w:name="_Toc11935"/>
      <w:r>
        <w:rPr>
          <w:rFonts w:hint="eastAsia" w:ascii="宋体" w:hAnsi="宋体" w:eastAsia="宋体" w:cs="宋体"/>
          <w:spacing w:val="14"/>
          <w:sz w:val="24"/>
          <w:szCs w:val="24"/>
        </w:rPr>
        <w:t>24. 争议的解决</w:t>
      </w:r>
      <w:bookmarkEnd w:id="512"/>
      <w:bookmarkEnd w:id="51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14" w:name="_Toc18654"/>
      <w:bookmarkStart w:id="515" w:name="_Toc16009"/>
      <w:r>
        <w:rPr>
          <w:rFonts w:hint="eastAsia" w:ascii="宋体" w:hAnsi="宋体" w:eastAsia="宋体" w:cs="宋体"/>
          <w:spacing w:val="14"/>
          <w:sz w:val="24"/>
          <w:szCs w:val="24"/>
        </w:rPr>
        <w:t>24.3 争议评审</w:t>
      </w:r>
      <w:bookmarkEnd w:id="514"/>
      <w:bookmarkEnd w:id="51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24.3.1 项补充：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争议评审组由 3 人或 5 人组成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专家的聘请方法可由发包人和承包人共同协商确定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亦可请政府主管部门推荐或通过合同争议调解机构聘请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并经双方认同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争议评审组成员应与合同双方均无利害关系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争议评审组的各项费用由发包人和承包人平均分担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本条补充第 24.4 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第 24.5 款（适用于采用仲裁方式最终解决争议的项目）：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16" w:name="_Toc1055"/>
      <w:bookmarkStart w:id="517" w:name="_Toc28206"/>
      <w:r>
        <w:rPr>
          <w:rFonts w:hint="eastAsia" w:ascii="宋体" w:hAnsi="宋体" w:eastAsia="宋体" w:cs="宋体"/>
          <w:spacing w:val="14"/>
          <w:sz w:val="24"/>
          <w:szCs w:val="24"/>
        </w:rPr>
        <w:t>24.4 仲裁</w:t>
      </w:r>
      <w:bookmarkEnd w:id="516"/>
      <w:bookmarkEnd w:id="51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（1）对于未能友好解决或未能通过争议评审解决的争议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发包人或承包人任一方均有权提交给第 24.1 款约定的仲裁委员会仲裁</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（2）仲裁可在交工之前或之后进行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监理人和承包人各自的义务不得因在工程实施期间进行仲裁而有所改变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如果仲裁是在终止合同的情况下进行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则对合同工程应采取保护措施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措施费由败诉方承担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（3）仲裁裁决是终局性的并对发包人和承包人双方具有约束力</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（4）全部仲裁费用应由败诉方承担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或按仲裁委员会裁决的比例分担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18" w:name="_Toc10005"/>
      <w:bookmarkStart w:id="519" w:name="_Toc19031"/>
      <w:r>
        <w:rPr>
          <w:rFonts w:hint="eastAsia" w:ascii="宋体" w:hAnsi="宋体" w:eastAsia="宋体" w:cs="宋体"/>
          <w:spacing w:val="14"/>
          <w:sz w:val="24"/>
          <w:szCs w:val="24"/>
        </w:rPr>
        <w:t>24.5 仲裁的执行</w:t>
      </w:r>
      <w:bookmarkEnd w:id="518"/>
      <w:bookmarkEnd w:id="51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（1）任何一方不履行仲裁机构的裁决的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对方可以向有管辖权的人民法院申请执行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z w:val="23"/>
          <w:szCs w:val="23"/>
          <w:lang w:eastAsia="zh-CN"/>
        </w:rPr>
      </w:pPr>
      <w:r>
        <w:rPr>
          <w:rFonts w:hint="eastAsia" w:ascii="宋体" w:hAnsi="宋体" w:eastAsia="宋体" w:cs="宋体"/>
          <w:spacing w:val="14"/>
          <w:sz w:val="24"/>
          <w:szCs w:val="24"/>
        </w:rPr>
        <w:t>（2）任何一方提出证据证明裁决有《中华人民共和国仲裁法》第五十八条规定情形之一的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可以向仲裁委员会所在地的中级人民法院申请撤销裁决</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人民法院认定执行该裁决违背社会公共利益的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裁定不予执行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仲裁裁决被人民法院裁定不予执行的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当事人可以根据双方达成的书面仲裁协议重新申请仲裁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也可以向人民法院起诉</w:t>
      </w:r>
      <w:r>
        <w:rPr>
          <w:rFonts w:hint="eastAsia" w:ascii="宋体" w:hAnsi="宋体" w:eastAsia="宋体" w:cs="宋体"/>
          <w:spacing w:val="14"/>
          <w:sz w:val="24"/>
          <w:szCs w:val="24"/>
          <w:lang w:eastAsia="zh-CN"/>
        </w:rPr>
        <w:t>。</w:t>
      </w:r>
    </w:p>
    <w:p>
      <w:pPr>
        <w:sectPr>
          <w:footerReference r:id="rId9" w:type="default"/>
          <w:pgSz w:w="11906" w:h="16839"/>
          <w:pgMar w:top="400" w:right="999" w:bottom="1156" w:left="1087" w:header="0" w:footer="996" w:gutter="0"/>
          <w:pgNumType w:fmt="decimal" w:start="1"/>
          <w:cols w:space="720" w:num="1"/>
        </w:sectPr>
      </w:pPr>
    </w:p>
    <w:p>
      <w:pPr>
        <w:pStyle w:val="2"/>
        <w:bidi w:val="0"/>
        <w:rPr>
          <w:rFonts w:hint="eastAsia" w:ascii="宋体" w:hAnsi="宋体" w:eastAsia="宋体" w:cs="宋体"/>
          <w:lang w:eastAsia="zh-CN"/>
        </w:rPr>
      </w:pPr>
      <w:bookmarkStart w:id="520" w:name="_Toc20995"/>
      <w:r>
        <w:rPr>
          <w:rFonts w:hint="eastAsia" w:ascii="宋体" w:hAnsi="宋体" w:eastAsia="宋体" w:cs="宋体"/>
        </w:rPr>
        <w:t>三</w:t>
      </w:r>
      <w:r>
        <w:rPr>
          <w:rFonts w:hint="eastAsia" w:ascii="宋体" w:hAnsi="宋体" w:eastAsia="宋体" w:cs="宋体"/>
          <w:lang w:eastAsia="zh-CN"/>
        </w:rPr>
        <w:t>、合同工程量清单</w:t>
      </w:r>
      <w:bookmarkEnd w:id="520"/>
    </w:p>
    <w:p>
      <w:pPr>
        <w:rPr>
          <w:rFonts w:hint="eastAsia" w:ascii="宋体" w:hAnsi="宋体" w:eastAsia="宋体" w:cs="宋体"/>
          <w:sz w:val="24"/>
          <w:szCs w:val="24"/>
          <w:lang w:eastAsia="zh-CN"/>
        </w:rPr>
      </w:pPr>
      <w:r>
        <w:rPr>
          <w:rFonts w:hint="eastAsia" w:ascii="宋体" w:hAnsi="宋体" w:eastAsia="宋体" w:cs="宋体"/>
          <w:spacing w:val="14"/>
          <w:sz w:val="24"/>
          <w:szCs w:val="24"/>
          <w:lang w:eastAsia="zh-CN"/>
          <w14:textOutline w14:w="4358" w14:cap="sq" w14:cmpd="sng">
            <w14:solidFill>
              <w14:srgbClr w14:val="000000"/>
            </w14:solidFill>
            <w14:prstDash w14:val="solid"/>
            <w14:bevel/>
          </w14:textOutline>
        </w:rPr>
        <w:t>详见附件</w:t>
      </w:r>
      <w:r>
        <w:rPr>
          <w:rFonts w:hint="eastAsia" w:ascii="宋体" w:hAnsi="宋体" w:eastAsia="宋体" w:cs="宋体"/>
          <w:spacing w:val="14"/>
          <w:sz w:val="24"/>
          <w:szCs w:val="24"/>
          <w:lang w:val="en-US" w:eastAsia="zh-CN"/>
          <w14:textOutline w14:w="4358" w14:cap="sq" w14:cmpd="sng">
            <w14:solidFill>
              <w14:srgbClr w14:val="000000"/>
            </w14:solidFill>
            <w14:prstDash w14:val="solid"/>
            <w14:bevel/>
          </w14:textOutline>
        </w:rPr>
        <w:t>2</w:t>
      </w:r>
      <w:r>
        <w:rPr>
          <w:rFonts w:hint="eastAsia" w:ascii="宋体" w:hAnsi="宋体" w:eastAsia="宋体" w:cs="宋体"/>
          <w:sz w:val="24"/>
          <w:szCs w:val="24"/>
          <w:lang w:eastAsia="zh-CN"/>
        </w:rPr>
        <w:br w:type="page"/>
      </w:r>
    </w:p>
    <w:p>
      <w:pPr>
        <w:pStyle w:val="2"/>
        <w:bidi w:val="0"/>
        <w:rPr>
          <w:rFonts w:hint="eastAsia" w:ascii="宋体" w:hAnsi="宋体" w:eastAsia="宋体" w:cs="宋体"/>
        </w:rPr>
      </w:pPr>
      <w:bookmarkStart w:id="521" w:name="_Toc3643"/>
      <w:r>
        <w:rPr>
          <w:rFonts w:hint="eastAsia" w:ascii="宋体" w:hAnsi="宋体" w:eastAsia="宋体" w:cs="宋体"/>
          <w:lang w:eastAsia="zh-CN"/>
        </w:rPr>
        <w:t>四、监理合同</w:t>
      </w:r>
      <w:bookmarkEnd w:id="52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0"/>
        <w:rPr>
          <w:rFonts w:hint="eastAsia" w:ascii="宋体" w:hAnsi="宋体" w:eastAsia="宋体" w:cs="宋体"/>
          <w:spacing w:val="14"/>
          <w:sz w:val="24"/>
          <w:szCs w:val="24"/>
        </w:rPr>
      </w:pPr>
      <w:bookmarkStart w:id="522" w:name="_Toc10442"/>
      <w:bookmarkStart w:id="523" w:name="_Toc24130"/>
      <w:r>
        <w:rPr>
          <w:rFonts w:hint="eastAsia" w:ascii="宋体" w:hAnsi="宋体" w:eastAsia="宋体" w:cs="宋体"/>
          <w:b/>
          <w:bCs/>
          <w:spacing w:val="14"/>
          <w:sz w:val="24"/>
          <w:szCs w:val="24"/>
        </w:rPr>
        <w:t>第一部分 合同协议书</w:t>
      </w:r>
      <w:bookmarkEnd w:id="522"/>
      <w:bookmarkEnd w:id="52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委托人（全称）：</w:t>
      </w:r>
      <w:r>
        <w:rPr>
          <w:rFonts w:hint="eastAsia" w:ascii="宋体" w:hAnsi="宋体" w:eastAsia="宋体" w:cs="宋体"/>
          <w:spacing w:val="14"/>
          <w:sz w:val="24"/>
          <w:szCs w:val="24"/>
          <w:lang w:val="en-US" w:eastAsia="zh-CN"/>
        </w:rPr>
        <w:t>006</w:t>
      </w:r>
      <w:r>
        <w:rPr>
          <w:rFonts w:hint="eastAsia" w:ascii="宋体" w:hAnsi="宋体" w:eastAsia="宋体" w:cs="宋体"/>
          <w:spacing w:val="14"/>
          <w:sz w:val="24"/>
          <w:szCs w:val="24"/>
          <w:lang w:eastAsia="zh-CN"/>
        </w:rPr>
        <w:t>宏邦高速公路集团有限公司</w:t>
      </w:r>
      <w:r>
        <w:rPr>
          <w:rFonts w:hint="eastAsia" w:ascii="宋体" w:hAnsi="宋体" w:eastAsia="宋体" w:cs="宋体"/>
          <w:spacing w:val="14"/>
          <w:sz w:val="24"/>
          <w:szCs w:val="24"/>
        </w:rPr>
        <w:t>有限公司</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监理人（全称）：</w:t>
      </w:r>
      <w:r>
        <w:rPr>
          <w:rFonts w:hint="eastAsia" w:ascii="宋体" w:hAnsi="宋体" w:eastAsia="宋体" w:cs="宋体"/>
          <w:spacing w:val="14"/>
          <w:sz w:val="24"/>
          <w:szCs w:val="24"/>
          <w:lang w:val="en-US" w:eastAsia="zh-CN"/>
        </w:rPr>
        <w:t>006</w:t>
      </w:r>
      <w:r>
        <w:rPr>
          <w:rFonts w:hint="eastAsia" w:ascii="宋体" w:hAnsi="宋体" w:eastAsia="宋体" w:cs="宋体"/>
          <w:spacing w:val="14"/>
          <w:sz w:val="24"/>
          <w:szCs w:val="24"/>
          <w:lang w:eastAsia="zh-CN"/>
        </w:rPr>
        <w:t>春乔春乔交通工程监理咨询有限公司</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根据《中华人民共和国民法典》及其他有关</w:t>
      </w:r>
      <w:r>
        <w:rPr>
          <w:rFonts w:hint="eastAsia" w:ascii="宋体" w:hAnsi="宋体" w:eastAsia="宋体" w:cs="宋体"/>
          <w:spacing w:val="14"/>
          <w:sz w:val="24"/>
          <w:szCs w:val="24"/>
          <w:lang w:eastAsia="zh-CN"/>
        </w:rPr>
        <w:t>法律法规，</w:t>
      </w:r>
      <w:r>
        <w:rPr>
          <w:rFonts w:hint="eastAsia" w:ascii="宋体" w:hAnsi="宋体" w:eastAsia="宋体" w:cs="宋体"/>
          <w:spacing w:val="14"/>
          <w:sz w:val="24"/>
          <w:szCs w:val="24"/>
        </w:rPr>
        <w:t>遵循平等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自愿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公平和诚信的原则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双方就下述工程委托监理与相关服务事项协商一致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订立本合同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524" w:name="_Toc20648"/>
      <w:bookmarkStart w:id="525" w:name="_Toc2422"/>
      <w:r>
        <w:rPr>
          <w:rFonts w:hint="eastAsia" w:ascii="宋体" w:hAnsi="宋体" w:eastAsia="宋体" w:cs="宋体"/>
          <w:spacing w:val="14"/>
          <w:sz w:val="24"/>
          <w:szCs w:val="24"/>
        </w:rPr>
        <w:t>一</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工程概况</w:t>
      </w:r>
      <w:bookmarkEnd w:id="524"/>
      <w:bookmarkEnd w:id="52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 xml:space="preserve">1 </w:t>
      </w:r>
      <w:r>
        <w:rPr>
          <w:rFonts w:hint="eastAsia" w:ascii="宋体" w:hAnsi="宋体" w:eastAsia="宋体" w:cs="宋体"/>
          <w:spacing w:val="14"/>
          <w:sz w:val="24"/>
          <w:szCs w:val="24"/>
          <w:lang w:val="en-US" w:eastAsia="zh-CN"/>
        </w:rPr>
        <w:t>合同</w:t>
      </w:r>
      <w:r>
        <w:rPr>
          <w:rFonts w:hint="eastAsia" w:ascii="宋体" w:hAnsi="宋体" w:eastAsia="宋体" w:cs="宋体"/>
          <w:spacing w:val="14"/>
          <w:sz w:val="24"/>
          <w:szCs w:val="24"/>
        </w:rPr>
        <w:t>名称：</w:t>
      </w:r>
      <w:r>
        <w:rPr>
          <w:rFonts w:hint="eastAsia" w:ascii="宋体" w:hAnsi="宋体" w:eastAsia="宋体" w:cs="宋体"/>
          <w:spacing w:val="14"/>
          <w:sz w:val="24"/>
          <w:szCs w:val="24"/>
          <w:lang w:val="en-US" w:eastAsia="zh-CN"/>
        </w:rPr>
        <w:t>006</w:t>
      </w:r>
      <w:r>
        <w:rPr>
          <w:rFonts w:hint="eastAsia" w:ascii="宋体" w:hAnsi="宋体" w:eastAsia="宋体" w:cs="宋体"/>
          <w:spacing w:val="14"/>
          <w:sz w:val="24"/>
          <w:szCs w:val="24"/>
          <w:lang w:eastAsia="zh-CN"/>
        </w:rPr>
        <w:t>兰磨高速公路工程项目</w:t>
      </w:r>
      <w:r>
        <w:rPr>
          <w:rFonts w:hint="eastAsia" w:ascii="宋体" w:hAnsi="宋体" w:eastAsia="宋体" w:cs="宋体"/>
          <w:spacing w:val="14"/>
          <w:sz w:val="24"/>
          <w:szCs w:val="24"/>
        </w:rPr>
        <w:t>施工三标段</w:t>
      </w:r>
      <w:r>
        <w:rPr>
          <w:rFonts w:hint="eastAsia" w:ascii="宋体" w:hAnsi="宋体" w:eastAsia="宋体" w:cs="宋体"/>
          <w:spacing w:val="14"/>
          <w:sz w:val="24"/>
          <w:szCs w:val="24"/>
          <w:lang w:val="en-US" w:eastAsia="zh-CN"/>
        </w:rPr>
        <w:t>监理合同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default"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 合同编号：006</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val="en-US" w:eastAsia="zh-CN"/>
        </w:rPr>
        <w:t>3</w:t>
      </w:r>
      <w:r>
        <w:rPr>
          <w:rFonts w:hint="eastAsia" w:ascii="宋体" w:hAnsi="宋体" w:eastAsia="宋体" w:cs="宋体"/>
          <w:spacing w:val="14"/>
          <w:sz w:val="24"/>
          <w:szCs w:val="24"/>
        </w:rPr>
        <w:t xml:space="preserve"> 工程地点：</w:t>
      </w:r>
      <w:r>
        <w:rPr>
          <w:rFonts w:hint="eastAsia" w:ascii="宋体" w:hAnsi="宋体" w:eastAsia="宋体" w:cs="宋体"/>
          <w:spacing w:val="14"/>
          <w:sz w:val="24"/>
          <w:szCs w:val="24"/>
          <w:lang w:eastAsia="zh-CN"/>
        </w:rPr>
        <w:t>云南省。</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val="en-US" w:eastAsia="zh-CN"/>
        </w:rPr>
        <w:t>4</w:t>
      </w:r>
      <w:r>
        <w:rPr>
          <w:rFonts w:hint="eastAsia" w:ascii="宋体" w:hAnsi="宋体" w:eastAsia="宋体" w:cs="宋体"/>
          <w:spacing w:val="14"/>
          <w:sz w:val="24"/>
          <w:szCs w:val="24"/>
        </w:rPr>
        <w:t xml:space="preserve"> 工程规模：本标段K00+000～K07+300，合同工期：21个月，长度：7.3KM，全段六车道，填方数量201万方。大桥1座，中桥1座，小桥2座，通道3座（枢纽互通1座，一般互通2座），分离式立交2座，服务区一处。</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lang w:eastAsia="zh-CN"/>
        </w:rPr>
      </w:pPr>
      <w:bookmarkStart w:id="526" w:name="_Toc736"/>
      <w:bookmarkStart w:id="527" w:name="_Toc2742"/>
      <w:r>
        <w:rPr>
          <w:rFonts w:hint="eastAsia" w:ascii="宋体" w:hAnsi="宋体" w:eastAsia="宋体" w:cs="宋体"/>
          <w:spacing w:val="14"/>
          <w:sz w:val="24"/>
          <w:szCs w:val="24"/>
          <w:lang w:val="en-US" w:eastAsia="zh-CN"/>
        </w:rPr>
        <w:t>5</w:t>
      </w:r>
      <w:r>
        <w:rPr>
          <w:rFonts w:hint="eastAsia" w:ascii="宋体" w:hAnsi="宋体" w:eastAsia="宋体" w:cs="宋体"/>
          <w:spacing w:val="14"/>
          <w:sz w:val="24"/>
          <w:szCs w:val="24"/>
        </w:rPr>
        <w:t xml:space="preserve"> 工程概算投资额或建筑安装工程费：</w:t>
      </w:r>
      <w:r>
        <w:rPr>
          <w:rFonts w:hint="eastAsia" w:ascii="宋体" w:hAnsi="宋体" w:eastAsia="宋体" w:cs="宋体"/>
          <w:spacing w:val="14"/>
          <w:sz w:val="24"/>
          <w:szCs w:val="24"/>
          <w:lang w:val="en-US" w:eastAsia="zh-CN"/>
        </w:rPr>
        <w:t>67789</w:t>
      </w:r>
      <w:r>
        <w:rPr>
          <w:rFonts w:hint="eastAsia" w:ascii="宋体" w:hAnsi="宋体" w:eastAsia="宋体" w:cs="宋体"/>
          <w:spacing w:val="14"/>
          <w:sz w:val="24"/>
          <w:szCs w:val="24"/>
        </w:rPr>
        <w:t>万元</w:t>
      </w:r>
      <w:r>
        <w:rPr>
          <w:rFonts w:hint="eastAsia" w:ascii="宋体" w:hAnsi="宋体" w:eastAsia="宋体" w:cs="宋体"/>
          <w:spacing w:val="14"/>
          <w:sz w:val="24"/>
          <w:szCs w:val="24"/>
          <w:lang w:eastAsia="zh-CN"/>
        </w:rPr>
        <w:t>。</w:t>
      </w:r>
      <w:bookmarkEnd w:id="526"/>
      <w:bookmarkEnd w:id="52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528" w:name="_Toc32109"/>
      <w:bookmarkStart w:id="529" w:name="_Toc5522"/>
      <w:r>
        <w:rPr>
          <w:rFonts w:hint="eastAsia" w:ascii="宋体" w:hAnsi="宋体" w:eastAsia="宋体" w:cs="宋体"/>
          <w:spacing w:val="14"/>
          <w:sz w:val="24"/>
          <w:szCs w:val="24"/>
        </w:rPr>
        <w:t>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词语限定</w:t>
      </w:r>
      <w:bookmarkEnd w:id="528"/>
      <w:bookmarkEnd w:id="52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协议书中相关词语的含义与通用条件中的定义与解释相同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530" w:name="_Toc28186"/>
      <w:bookmarkStart w:id="531" w:name="_Toc17306"/>
      <w:r>
        <w:rPr>
          <w:rFonts w:hint="eastAsia" w:ascii="宋体" w:hAnsi="宋体" w:eastAsia="宋体" w:cs="宋体"/>
          <w:spacing w:val="14"/>
          <w:sz w:val="24"/>
          <w:szCs w:val="24"/>
        </w:rPr>
        <w:t>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组成本合同的文件</w:t>
      </w:r>
      <w:bookmarkEnd w:id="530"/>
      <w:bookmarkEnd w:id="53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lang w:eastAsia="zh-CN"/>
        </w:rPr>
      </w:pPr>
      <w:bookmarkStart w:id="532" w:name="_Toc7773"/>
      <w:bookmarkStart w:id="533" w:name="_Toc32583"/>
      <w:r>
        <w:rPr>
          <w:rFonts w:hint="eastAsia" w:ascii="宋体" w:hAnsi="宋体" w:eastAsia="宋体" w:cs="宋体"/>
          <w:spacing w:val="14"/>
          <w:sz w:val="24"/>
          <w:szCs w:val="24"/>
        </w:rPr>
        <w:t>1. 协议书</w:t>
      </w:r>
      <w:r>
        <w:rPr>
          <w:rFonts w:hint="eastAsia" w:ascii="宋体" w:hAnsi="宋体" w:eastAsia="宋体" w:cs="宋体"/>
          <w:spacing w:val="14"/>
          <w:sz w:val="24"/>
          <w:szCs w:val="24"/>
          <w:lang w:eastAsia="zh-CN"/>
        </w:rPr>
        <w:t>；</w:t>
      </w:r>
      <w:bookmarkEnd w:id="532"/>
      <w:bookmarkEnd w:id="53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 中标通知书（适用于招标工程）或委托书（适用于非招标工程）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 投标文件（适用于招标工程）或监理与相关服务建议书（适用于非招标工程）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 专用条件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 通用条件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 附录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即：</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534" w:name="_Toc21902"/>
      <w:bookmarkStart w:id="535" w:name="_Toc11634"/>
      <w:r>
        <w:rPr>
          <w:rFonts w:hint="eastAsia" w:ascii="宋体" w:hAnsi="宋体" w:eastAsia="宋体" w:cs="宋体"/>
          <w:spacing w:val="14"/>
          <w:sz w:val="24"/>
          <w:szCs w:val="24"/>
        </w:rPr>
        <w:t>附录A  相关服务的范围和内容</w:t>
      </w:r>
      <w:bookmarkEnd w:id="534"/>
      <w:bookmarkEnd w:id="53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附录B  委托人派遣的人员和提供的房屋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本合同签订后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双方依法签订的补充协议也是本合同文件的组成部分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536" w:name="_Toc30790"/>
      <w:bookmarkStart w:id="537" w:name="_Toc23296"/>
      <w:r>
        <w:rPr>
          <w:rFonts w:hint="eastAsia" w:ascii="宋体" w:hAnsi="宋体" w:eastAsia="宋体" w:cs="宋体"/>
          <w:spacing w:val="14"/>
          <w:sz w:val="24"/>
          <w:szCs w:val="24"/>
        </w:rPr>
        <w:t>四</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总监理工程师</w:t>
      </w:r>
      <w:bookmarkEnd w:id="536"/>
      <w:bookmarkEnd w:id="53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 xml:space="preserve">总监理工程师姓名：           </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 xml:space="preserve">身份证号码：            </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 xml:space="preserve">注册号：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538" w:name="_Toc27912"/>
      <w:bookmarkStart w:id="539" w:name="_Toc198"/>
      <w:r>
        <w:rPr>
          <w:rFonts w:hint="eastAsia" w:ascii="宋体" w:hAnsi="宋体" w:eastAsia="宋体" w:cs="宋体"/>
          <w:spacing w:val="14"/>
          <w:sz w:val="24"/>
          <w:szCs w:val="24"/>
        </w:rPr>
        <w:t>五</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签约酬金</w:t>
      </w:r>
      <w:bookmarkEnd w:id="538"/>
      <w:bookmarkEnd w:id="53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签约酬金（大写）：叁佰万元（¥</w:t>
      </w:r>
      <w:r>
        <w:rPr>
          <w:rFonts w:hint="eastAsia" w:ascii="宋体" w:hAnsi="宋体" w:eastAsia="宋体" w:cs="宋体"/>
          <w:spacing w:val="14"/>
          <w:sz w:val="24"/>
          <w:szCs w:val="24"/>
          <w:lang w:val="en-US" w:eastAsia="zh-CN"/>
        </w:rPr>
        <w:t>3</w:t>
      </w:r>
      <w:r>
        <w:rPr>
          <w:rFonts w:hint="eastAsia" w:ascii="宋体" w:hAnsi="宋体" w:eastAsia="宋体" w:cs="宋体"/>
          <w:spacing w:val="14"/>
          <w:sz w:val="24"/>
          <w:szCs w:val="24"/>
        </w:rPr>
        <w:t>000000）</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包括：</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 监理酬金：</w:t>
      </w:r>
      <w:r>
        <w:rPr>
          <w:rFonts w:hint="eastAsia" w:ascii="宋体" w:hAnsi="宋体" w:eastAsia="宋体" w:cs="宋体"/>
          <w:spacing w:val="14"/>
          <w:sz w:val="24"/>
          <w:szCs w:val="24"/>
          <w:lang w:val="en-US" w:eastAsia="zh-CN"/>
        </w:rPr>
        <w:t>25</w:t>
      </w:r>
      <w:r>
        <w:rPr>
          <w:rFonts w:hint="eastAsia" w:ascii="宋体" w:hAnsi="宋体" w:eastAsia="宋体" w:cs="宋体"/>
          <w:spacing w:val="14"/>
          <w:sz w:val="24"/>
          <w:szCs w:val="24"/>
        </w:rPr>
        <w:t>00000</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 相关服务酬金：</w:t>
      </w:r>
      <w:r>
        <w:rPr>
          <w:rFonts w:hint="eastAsia" w:ascii="宋体" w:hAnsi="宋体" w:eastAsia="宋体" w:cs="宋体"/>
          <w:spacing w:val="14"/>
          <w:sz w:val="24"/>
          <w:szCs w:val="24"/>
          <w:lang w:val="en-US" w:eastAsia="zh-CN"/>
        </w:rPr>
        <w:t>5</w:t>
      </w:r>
      <w:r>
        <w:rPr>
          <w:rFonts w:hint="eastAsia" w:ascii="宋体" w:hAnsi="宋体" w:eastAsia="宋体" w:cs="宋体"/>
          <w:spacing w:val="14"/>
          <w:sz w:val="24"/>
          <w:szCs w:val="24"/>
        </w:rPr>
        <w:t>00000</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其中：</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（1）勘察阶段服务酬金：无</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（2）设计阶段服务酬金：无</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（3）保修阶段服务酬金：</w:t>
      </w:r>
      <w:r>
        <w:rPr>
          <w:rFonts w:hint="eastAsia" w:ascii="宋体" w:hAnsi="宋体" w:eastAsia="宋体" w:cs="宋体"/>
          <w:spacing w:val="14"/>
          <w:sz w:val="24"/>
          <w:szCs w:val="24"/>
          <w:lang w:val="en-US" w:eastAsia="zh-CN"/>
        </w:rPr>
        <w:t>5</w:t>
      </w:r>
      <w:r>
        <w:rPr>
          <w:rFonts w:hint="eastAsia" w:ascii="宋体" w:hAnsi="宋体" w:eastAsia="宋体" w:cs="宋体"/>
          <w:spacing w:val="14"/>
          <w:sz w:val="24"/>
          <w:szCs w:val="24"/>
        </w:rPr>
        <w:t>00000元</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（4）其他相关服务酬金：无</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540" w:name="_Toc5815"/>
      <w:bookmarkStart w:id="541" w:name="_Toc16468"/>
      <w:r>
        <w:rPr>
          <w:rFonts w:hint="eastAsia" w:ascii="宋体" w:hAnsi="宋体" w:eastAsia="宋体" w:cs="宋体"/>
          <w:spacing w:val="14"/>
          <w:sz w:val="24"/>
          <w:szCs w:val="24"/>
        </w:rPr>
        <w:t>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期限</w:t>
      </w:r>
      <w:bookmarkEnd w:id="540"/>
      <w:bookmarkEnd w:id="54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42" w:name="_Toc13693"/>
      <w:bookmarkStart w:id="543" w:name="_Toc10937"/>
      <w:r>
        <w:rPr>
          <w:rFonts w:hint="eastAsia" w:ascii="宋体" w:hAnsi="宋体" w:eastAsia="宋体" w:cs="宋体"/>
          <w:spacing w:val="14"/>
          <w:sz w:val="24"/>
          <w:szCs w:val="24"/>
        </w:rPr>
        <w:t>1. 监理期限：</w:t>
      </w:r>
      <w:bookmarkEnd w:id="542"/>
      <w:bookmarkEnd w:id="54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自2019年1月1日始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至2021年9月30日止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44" w:name="_Toc179"/>
      <w:bookmarkStart w:id="545" w:name="_Toc10040"/>
      <w:r>
        <w:rPr>
          <w:rFonts w:hint="eastAsia" w:ascii="宋体" w:hAnsi="宋体" w:eastAsia="宋体" w:cs="宋体"/>
          <w:spacing w:val="14"/>
          <w:sz w:val="24"/>
          <w:szCs w:val="24"/>
        </w:rPr>
        <w:t>2. 相关服务期限：</w:t>
      </w:r>
      <w:bookmarkEnd w:id="544"/>
      <w:bookmarkEnd w:id="54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（1）保修阶段服务期限自2021年9月30日始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至202</w:t>
      </w:r>
      <w:r>
        <w:rPr>
          <w:rFonts w:hint="eastAsia" w:ascii="宋体" w:hAnsi="宋体" w:eastAsia="宋体" w:cs="宋体"/>
          <w:spacing w:val="14"/>
          <w:sz w:val="24"/>
          <w:szCs w:val="24"/>
          <w:lang w:val="en-US" w:eastAsia="zh-CN"/>
        </w:rPr>
        <w:t>3</w:t>
      </w:r>
      <w:r>
        <w:rPr>
          <w:rFonts w:hint="eastAsia" w:ascii="宋体" w:hAnsi="宋体" w:eastAsia="宋体" w:cs="宋体"/>
          <w:spacing w:val="14"/>
          <w:sz w:val="24"/>
          <w:szCs w:val="24"/>
        </w:rPr>
        <w:t>年</w:t>
      </w:r>
      <w:r>
        <w:rPr>
          <w:rFonts w:hint="eastAsia" w:ascii="宋体" w:hAnsi="宋体" w:eastAsia="宋体" w:cs="宋体"/>
          <w:spacing w:val="14"/>
          <w:sz w:val="24"/>
          <w:szCs w:val="24"/>
          <w:lang w:val="en-US" w:eastAsia="zh-CN"/>
        </w:rPr>
        <w:t>9</w:t>
      </w:r>
      <w:r>
        <w:rPr>
          <w:rFonts w:hint="eastAsia" w:ascii="宋体" w:hAnsi="宋体" w:eastAsia="宋体" w:cs="宋体"/>
          <w:spacing w:val="14"/>
          <w:sz w:val="24"/>
          <w:szCs w:val="24"/>
        </w:rPr>
        <w:t>月30日止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546" w:name="_Toc22614"/>
      <w:bookmarkStart w:id="547" w:name="_Toc14641"/>
      <w:r>
        <w:rPr>
          <w:rFonts w:hint="eastAsia" w:ascii="宋体" w:hAnsi="宋体" w:eastAsia="宋体" w:cs="宋体"/>
          <w:spacing w:val="14"/>
          <w:sz w:val="24"/>
          <w:szCs w:val="24"/>
        </w:rPr>
        <w:t>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双方承诺</w:t>
      </w:r>
      <w:bookmarkEnd w:id="546"/>
      <w:bookmarkEnd w:id="54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lang w:eastAsia="zh-CN"/>
        </w:rPr>
      </w:pPr>
      <w:bookmarkStart w:id="548" w:name="_Toc20259"/>
      <w:bookmarkStart w:id="549" w:name="_Toc1086"/>
      <w:r>
        <w:rPr>
          <w:rFonts w:hint="eastAsia" w:ascii="宋体" w:hAnsi="宋体" w:eastAsia="宋体" w:cs="宋体"/>
          <w:spacing w:val="14"/>
          <w:sz w:val="24"/>
          <w:szCs w:val="24"/>
        </w:rPr>
        <w:t>1. 监理人向委托人承诺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按照本合同约定提供监理与相关服务</w:t>
      </w:r>
      <w:r>
        <w:rPr>
          <w:rFonts w:hint="eastAsia" w:ascii="宋体" w:hAnsi="宋体" w:eastAsia="宋体" w:cs="宋体"/>
          <w:spacing w:val="14"/>
          <w:sz w:val="24"/>
          <w:szCs w:val="24"/>
          <w:lang w:eastAsia="zh-CN"/>
        </w:rPr>
        <w:t>。</w:t>
      </w:r>
      <w:bookmarkEnd w:id="548"/>
      <w:bookmarkEnd w:id="54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 委托人向监理人承诺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按照本合同约定派遣相应的人员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提供房屋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并按本合同约定支付酬金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550" w:name="_Toc17145"/>
      <w:bookmarkStart w:id="551" w:name="_Toc3114"/>
      <w:r>
        <w:rPr>
          <w:rFonts w:hint="eastAsia" w:ascii="宋体" w:hAnsi="宋体" w:eastAsia="宋体" w:cs="宋体"/>
          <w:spacing w:val="14"/>
          <w:sz w:val="24"/>
          <w:szCs w:val="24"/>
        </w:rPr>
        <w:t>八</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合同订立</w:t>
      </w:r>
      <w:bookmarkEnd w:id="550"/>
      <w:bookmarkEnd w:id="55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 订立时间：          年       月      日</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 xml:space="preserve">2. 订立地点：                                 </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 本合同一式    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具有同等法律效力</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双方各执    份</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 xml:space="preserve">委托人：   （盖章）             监理人：   （盖章）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 xml:space="preserve">住所：                          住所：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 xml:space="preserve">邮政编码：                      邮政编码：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法定代表人或其授权              法定代表人或其授权</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 xml:space="preserve">的代理人：（签字）               的代理人：（签字）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 xml:space="preserve">开户银行：                      开户银行：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 xml:space="preserve">账号：                           账号：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 xml:space="preserve">电话：                           电话：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 xml:space="preserve">传真：                           传真：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 xml:space="preserve">电子邮箱：                      电子邮箱：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0"/>
        <w:rPr>
          <w:rFonts w:hint="eastAsia" w:ascii="宋体" w:hAnsi="宋体" w:eastAsia="宋体" w:cs="宋体"/>
          <w:spacing w:val="14"/>
          <w:sz w:val="24"/>
          <w:szCs w:val="24"/>
        </w:rPr>
      </w:pPr>
      <w:bookmarkStart w:id="552" w:name="_Toc13607"/>
      <w:bookmarkStart w:id="553" w:name="_Toc10919"/>
      <w:r>
        <w:rPr>
          <w:rFonts w:hint="eastAsia" w:ascii="宋体" w:hAnsi="宋体" w:eastAsia="宋体" w:cs="宋体"/>
          <w:b/>
          <w:bCs/>
          <w:spacing w:val="14"/>
          <w:sz w:val="24"/>
          <w:szCs w:val="24"/>
        </w:rPr>
        <w:t>第二部分  通用条件</w:t>
      </w:r>
      <w:bookmarkEnd w:id="552"/>
      <w:bookmarkEnd w:id="55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554" w:name="_Toc3295"/>
      <w:bookmarkStart w:id="555" w:name="_Toc15746"/>
      <w:r>
        <w:rPr>
          <w:rFonts w:hint="eastAsia" w:ascii="宋体" w:hAnsi="宋体" w:eastAsia="宋体" w:cs="宋体"/>
          <w:spacing w:val="14"/>
          <w:sz w:val="24"/>
          <w:szCs w:val="24"/>
        </w:rPr>
        <w:t>1. 定义与解释</w:t>
      </w:r>
      <w:bookmarkEnd w:id="554"/>
      <w:bookmarkEnd w:id="55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56" w:name="_Toc3804"/>
      <w:bookmarkStart w:id="557" w:name="_Toc11502"/>
      <w:r>
        <w:rPr>
          <w:rFonts w:hint="eastAsia" w:ascii="宋体" w:hAnsi="宋体" w:eastAsia="宋体" w:cs="宋体"/>
          <w:spacing w:val="14"/>
          <w:sz w:val="24"/>
          <w:szCs w:val="24"/>
        </w:rPr>
        <w:t>1.1 定义</w:t>
      </w:r>
      <w:bookmarkEnd w:id="556"/>
      <w:bookmarkEnd w:id="55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除根据上下文另有其意义外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组成本合同的全部文件中的下列名词和用语应具有本款所赋予的含义：</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 “工程”是指按照本合同约定实施监理与相关服务的建设工程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1.1.2 “委托人”是指本合同中委托监理与相关服务的一方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及其合法的继承人或受让人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1.1.3 “监理人”是指本合同中提供监理与相关服务的一方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及其合法的继承人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1.1.4 “承包人”是指在工程范围内与委托人签订勘察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施工等有关合同的当事人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及其合法的继承人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 xml:space="preserve">1.1.5 “监理”是指监理人受委托人的委托 </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依照法律法规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工程建设标准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勘察设计文件及合同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在施工阶段对建设工程质量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进度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造价进行控制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信息进行管理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对工程建设相关方的关系进行协调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并履行建设工程安全生产管理法定职责的服务活动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 xml:space="preserve">1.1.6 “相关服务”是指监理人受委托人的委托 </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按照本合同约定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在勘察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保修等阶段提供的服务活动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1.1.7 “正常工作”指本合同订立时通用条件和专用条件中约定的监理人的工作</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1.1.8 “附加工作”是指本合同约定的正常工作以外监理人的工作</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1.1.9 “项目监理机构”是指监理人派驻工程负责履行本合同的组织机构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1.1.10 “总监理工程师”是指由监理人的法定代表人书面授权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全面负责履行本合同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主持项目监理机构工作的注册监理工程师</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1.1.11 “酬金”是指监理人履行本合同义务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委托人按照本合同约定给付监理人的金额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1.1.12 “正常工作酬金”是指监理人完成正常工作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委托人应给付监理人并在协议书中载明的签约酬金额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1.1.13 “附加工作酬金”是指监理人完成附加工作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委托人应给付监理人的金额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1.1.14 “一方”是指委托人或监理人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“双方”是指委托人和监理人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“第三方”是指除委托人和监理人以外的有关方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1.1.15 “书面形式”是指合同书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信件和数据电文（包括电报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电传</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传真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电子数据交换和电子邮件）等可以有形地表现所载内容的形式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1.1.16 “天”是指第一天零时至第二天零时的时间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1.1.17“月”是指按公历从一个月中任何一天开始的一个公历月时间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1.1.18 “不可抗力”是指委托人和监理人在订立本合同时不可预见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在工程施工过程中不可避免发生并不能克服的自然灾害和社会性突发事件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如地震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海啸</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瘟疫</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水灾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骚乱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暴动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战争和专用条件约定的其他情形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58" w:name="_Toc5533"/>
      <w:bookmarkStart w:id="559" w:name="_Toc10729"/>
      <w:r>
        <w:rPr>
          <w:rFonts w:hint="eastAsia" w:ascii="宋体" w:hAnsi="宋体" w:eastAsia="宋体" w:cs="宋体"/>
          <w:spacing w:val="14"/>
          <w:sz w:val="24"/>
          <w:szCs w:val="24"/>
        </w:rPr>
        <w:t>1.2 解释</w:t>
      </w:r>
      <w:bookmarkEnd w:id="558"/>
      <w:bookmarkEnd w:id="55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1.2.1本合同使用中文书写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解释和说明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如专用条件约定使用两种及以上语言文字时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应以中文为准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1.2.2 组成本合同的下列文件彼此应能相互解释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互为说明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除专用条件另有约定外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本合同文件的解释顺序如下：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（1）协议书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（2）中标通知书（适用于招标工程）或委托书（适用于非招标工程）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（3）专用条件及附录A</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附录B</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（4）通用条件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（5）投标文件（适用于招标工程）或监理与相关服务建议书（适用于非招标工程）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双方签订的补充协议与其他文件发生矛盾或歧义时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属于同一类内容的文件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应以最新签署的为准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560" w:name="_Toc105"/>
      <w:bookmarkStart w:id="561" w:name="_Toc27112"/>
      <w:r>
        <w:rPr>
          <w:rFonts w:hint="eastAsia" w:ascii="宋体" w:hAnsi="宋体" w:eastAsia="宋体" w:cs="宋体"/>
          <w:spacing w:val="14"/>
          <w:sz w:val="24"/>
          <w:szCs w:val="24"/>
        </w:rPr>
        <w:t>2. 监理人的义务</w:t>
      </w:r>
      <w:bookmarkEnd w:id="560"/>
      <w:bookmarkEnd w:id="56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62" w:name="_Toc26738"/>
      <w:bookmarkStart w:id="563" w:name="_Toc9698"/>
      <w:r>
        <w:rPr>
          <w:rFonts w:hint="eastAsia" w:ascii="宋体" w:hAnsi="宋体" w:eastAsia="宋体" w:cs="宋体"/>
          <w:spacing w:val="14"/>
          <w:sz w:val="24"/>
          <w:szCs w:val="24"/>
        </w:rPr>
        <w:t>2.1 监理的范围和工作内容</w:t>
      </w:r>
      <w:bookmarkEnd w:id="562"/>
      <w:bookmarkEnd w:id="56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2.1.1 监理范围在专用条件中约定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2.1.2 除专用条件另有约定外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监理工作内容包括：</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（1）收到工程设计文件后编制监理规划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并在第一次工地会议7天前报委托人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根据有关规定和监理工作需要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编制监理实施细则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（2）熟悉工程设计文件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并参加由委托人主持的图纸会审和设计交底会议</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（3）参加由委托人主持的第一次工地会议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主持监理例会并根据工程需要主持或参加专题会议</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（4）审查施工承包人提交的施工组织设计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重点审查其中的质量安全技术措施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专项施工方案与工程建设强制性标准的符合性</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（5）检查施工承包人工程质量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安全生产管理制度及组织机构和人员资格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 xml:space="preserve">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（6）检查施工承包人专职安全生产管理人员的配备情况</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（7）审查施工承包人提交的施工进度计划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核查承包人对施工进度计划的调整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（8）检查施工承包人的试验室</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（9）审核施工分包人资质条件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（10）查验施工承包人的施工测量放线成果</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（11）审查工程开工条件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对条件具备的签发开工令</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（12）审查施工承包人报送的工程材料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构配件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设备质量证明文件的有效性和符合性</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并按规定对用于工程的材料采取平行检验或见证取样方式进行抽检</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（13）审核施工承包人提交的工程款支付申请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签发或出具工程款支付证书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并报委托人审核</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批准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（14）在巡视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旁站和检验过程中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发现工程质量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施工安全存在事故隐患的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要求施工承包人整改并报委托人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（15）经委托人同意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签发工程暂停令和复工令</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（16）审查施工承包人提交的采用新材料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新工艺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新技术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新设备的论证材料及相关验收标准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（17）验收隐蔽工程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分部分项工程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（18）审查施工承包人提交的工程申请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协调处理施工进度调整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费用索赔</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合同争议等事项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（19）审查施工承包人提交的竣工验收申请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编写工程质量评估报告</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（20）参加工程竣工验收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签署竣工验收意见</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（21）审查施工承包人提交的竣工结算申请并报委托人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（22）编制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整理工程监理归档文件并报委托人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2.1.3 相关服务的范围和内容在附录A中约定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64" w:name="_Toc6841"/>
      <w:bookmarkStart w:id="565" w:name="_Toc18242"/>
      <w:r>
        <w:rPr>
          <w:rFonts w:hint="eastAsia" w:ascii="宋体" w:hAnsi="宋体" w:eastAsia="宋体" w:cs="宋体"/>
          <w:spacing w:val="14"/>
          <w:sz w:val="24"/>
          <w:szCs w:val="24"/>
        </w:rPr>
        <w:t>2.2 监理与相关服务依据</w:t>
      </w:r>
      <w:bookmarkEnd w:id="564"/>
      <w:bookmarkEnd w:id="56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2.2.1 监理依据包括：</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（1）适用的法律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行政法规及部门规章</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（2）与工程有关的标准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（3）工程设计及有关文件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（4）本合同及委托人与第三方签订的与实施工程有关的其他合同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双方根据工程的行业和地域特点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在专用条件中具体约定监理依据</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2.2.2 相关服务依据在专用条件中约定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66" w:name="_Toc11233"/>
      <w:bookmarkStart w:id="567" w:name="_Toc30073"/>
      <w:r>
        <w:rPr>
          <w:rFonts w:hint="eastAsia" w:ascii="宋体" w:hAnsi="宋体" w:eastAsia="宋体" w:cs="宋体"/>
          <w:spacing w:val="14"/>
          <w:sz w:val="24"/>
          <w:szCs w:val="24"/>
        </w:rPr>
        <w:t>2.3 项目监理机构和人员</w:t>
      </w:r>
      <w:bookmarkEnd w:id="566"/>
      <w:bookmarkEnd w:id="56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2.3.1 监理人应组建满足工作需要的项目监理机构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配备必要的检测设备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项目监理机构的主要人员应具有相应的资格条件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2.3.2本合同履行过程中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总监理工程师及重要岗位监理人员应保持相对稳定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以保证监理工作正常进行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2.3.3监理人可根据工程进展和工作需要调整项目监理机构人员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监理人更换总监理工程师时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应提前7天向委托人书面报告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经委托人同意后方可更换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监理人更换项目监理机构其他监理人员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应以相当资格与能力的人员替换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并通知委托人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2.3.4 监理人应及时更换有下列情形之一的监理人员：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（1）严重过失行为的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（2）有违法行为不能履行职责的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（3）涉嫌犯罪的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（4）不能胜任岗位职责的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（5）严重违反职业道德的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（6）专用条件约定的其他情形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2.3.5 委托人可要求监理人更换不能胜任本职工作的项目监理机构人员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68" w:name="_Toc2834"/>
      <w:bookmarkStart w:id="569" w:name="_Toc15632"/>
      <w:r>
        <w:rPr>
          <w:rFonts w:hint="eastAsia" w:ascii="宋体" w:hAnsi="宋体" w:eastAsia="宋体" w:cs="宋体"/>
          <w:spacing w:val="14"/>
          <w:sz w:val="24"/>
          <w:szCs w:val="24"/>
        </w:rPr>
        <w:t>2.4 履行职责</w:t>
      </w:r>
      <w:bookmarkEnd w:id="568"/>
      <w:bookmarkEnd w:id="56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监理人应遵循职业道德准则和行为规范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严格按照法律法规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工程建设有关标准及本合同履行职责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2.4.1 在监理与相关服务范围内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委托人和承包人提出的意见和要求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监理人应及时提出处置意见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当委托人与承包人之间发生合同争议时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监理人应协助委托人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承包人协商解决</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2.4.2 当委托人与承包人之间的合同争议提交仲裁机构仲裁或人民法院审理时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监理人应提供必要的证明资料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2.4.3 监理人应在专用条件约定的授权范围内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处理委托人与承包人所签订合同的事宜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如果超过授权范围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应以书面形式报委托人批准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在紧急情况下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为了保护财产和人身安全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监理人所发出的指令未能事先报委托人批准时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应在发出指令后的24小时内以书面形式报委托人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2.4.4 除专用条件另有约定外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监理人发现承包人的人员不能胜任本职工作的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有权要求承包人予以调换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70" w:name="_Toc20593"/>
      <w:bookmarkStart w:id="571" w:name="_Toc6407"/>
      <w:r>
        <w:rPr>
          <w:rFonts w:hint="eastAsia" w:ascii="宋体" w:hAnsi="宋体" w:eastAsia="宋体" w:cs="宋体"/>
          <w:spacing w:val="14"/>
          <w:sz w:val="24"/>
          <w:szCs w:val="24"/>
        </w:rPr>
        <w:t>2.5 提交报告</w:t>
      </w:r>
      <w:bookmarkEnd w:id="570"/>
      <w:bookmarkEnd w:id="57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监理人应按专用条件约定的种类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时间和份数向委托人提交监理与相关服务的报告</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72" w:name="_Toc12442"/>
      <w:bookmarkStart w:id="573" w:name="_Toc18095"/>
      <w:r>
        <w:rPr>
          <w:rFonts w:hint="eastAsia" w:ascii="宋体" w:hAnsi="宋体" w:eastAsia="宋体" w:cs="宋体"/>
          <w:spacing w:val="14"/>
          <w:sz w:val="24"/>
          <w:szCs w:val="24"/>
        </w:rPr>
        <w:t>2.6 文件资料</w:t>
      </w:r>
      <w:bookmarkEnd w:id="572"/>
      <w:bookmarkEnd w:id="57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在本合同履行期内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监理人应在现场保留工作所用的图纸</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报告及记录监理工作的相关文件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工程竣工后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应当按照档案管理规定将监理有关文件归档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74" w:name="_Toc23656"/>
      <w:bookmarkStart w:id="575" w:name="_Toc856"/>
      <w:r>
        <w:rPr>
          <w:rFonts w:hint="eastAsia" w:ascii="宋体" w:hAnsi="宋体" w:eastAsia="宋体" w:cs="宋体"/>
          <w:spacing w:val="14"/>
          <w:sz w:val="24"/>
          <w:szCs w:val="24"/>
        </w:rPr>
        <w:t>2.7 使用委托人的财产</w:t>
      </w:r>
      <w:bookmarkEnd w:id="574"/>
      <w:bookmarkEnd w:id="57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监理人无偿使用附录B中由委托人派遣的人员和提供的房屋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除专用条件另有约定外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委托人提供的房屋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设备属于委托人的财产</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监理人应妥善使用和保管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在本合同终止时将这些房屋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设备的清单提交委托人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并按专用条件约定的时间和方式移交</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576" w:name="_Toc22501"/>
      <w:bookmarkStart w:id="577" w:name="_Toc25243"/>
      <w:r>
        <w:rPr>
          <w:rFonts w:hint="eastAsia" w:ascii="宋体" w:hAnsi="宋体" w:eastAsia="宋体" w:cs="宋体"/>
          <w:spacing w:val="14"/>
          <w:sz w:val="24"/>
          <w:szCs w:val="24"/>
        </w:rPr>
        <w:t>3．委托人的义务</w:t>
      </w:r>
      <w:bookmarkEnd w:id="576"/>
      <w:bookmarkEnd w:id="57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78" w:name="_Toc20380"/>
      <w:bookmarkStart w:id="579" w:name="_Toc16531"/>
      <w:r>
        <w:rPr>
          <w:rFonts w:hint="eastAsia" w:ascii="宋体" w:hAnsi="宋体" w:eastAsia="宋体" w:cs="宋体"/>
          <w:spacing w:val="14"/>
          <w:sz w:val="24"/>
          <w:szCs w:val="24"/>
        </w:rPr>
        <w:t>3.1 告知</w:t>
      </w:r>
      <w:bookmarkEnd w:id="578"/>
      <w:bookmarkEnd w:id="57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委托人应在委托人与承包人签订的合同中明确监理人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总监理工程师和授予项目监理机构的权限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应及时通知承包人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80" w:name="_Toc29817"/>
      <w:bookmarkStart w:id="581" w:name="_Toc439"/>
      <w:r>
        <w:rPr>
          <w:rFonts w:hint="eastAsia" w:ascii="宋体" w:hAnsi="宋体" w:eastAsia="宋体" w:cs="宋体"/>
          <w:spacing w:val="14"/>
          <w:sz w:val="24"/>
          <w:szCs w:val="24"/>
        </w:rPr>
        <w:t>3.2 提供资料</w:t>
      </w:r>
      <w:bookmarkEnd w:id="580"/>
      <w:bookmarkEnd w:id="58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委托人应按照附录B约定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无偿向监理人提供工程有关的资料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在本合同履行过程中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委托人应及时向监理人提供最新的与工程有关的资料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82" w:name="_Toc16947"/>
      <w:bookmarkStart w:id="583" w:name="_Toc561"/>
      <w:r>
        <w:rPr>
          <w:rFonts w:hint="eastAsia" w:ascii="宋体" w:hAnsi="宋体" w:eastAsia="宋体" w:cs="宋体"/>
          <w:spacing w:val="14"/>
          <w:sz w:val="24"/>
          <w:szCs w:val="24"/>
        </w:rPr>
        <w:t>3.3 提供工作条件</w:t>
      </w:r>
      <w:bookmarkEnd w:id="582"/>
      <w:bookmarkEnd w:id="58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委托人应为监理人完成监理与相关服务提供必要的条件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3.3.1 委托人应按照附录B约定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派遣相应的人员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提供房屋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供监理人无偿使用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3.3.2 委托人应负责协调工程建设中所有外部关系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为监理人履行本合同提供必要的外部条件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84" w:name="_Toc21703"/>
      <w:bookmarkStart w:id="585" w:name="_Toc25663"/>
      <w:r>
        <w:rPr>
          <w:rFonts w:hint="eastAsia" w:ascii="宋体" w:hAnsi="宋体" w:eastAsia="宋体" w:cs="宋体"/>
          <w:spacing w:val="14"/>
          <w:sz w:val="24"/>
          <w:szCs w:val="24"/>
        </w:rPr>
        <w:t>3.4 委托人代表</w:t>
      </w:r>
      <w:bookmarkEnd w:id="584"/>
      <w:bookmarkEnd w:id="58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委托人应授权一名熟悉工程情况的代表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负责与监理人联系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委托人应在双方签订本合同后7天内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将委托人代表的姓名和职责书面告知监理人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当委托人更换委托人代表时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应提前7天通知监理人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86" w:name="_Toc23521"/>
      <w:bookmarkStart w:id="587" w:name="_Toc16874"/>
      <w:r>
        <w:rPr>
          <w:rFonts w:hint="eastAsia" w:ascii="宋体" w:hAnsi="宋体" w:eastAsia="宋体" w:cs="宋体"/>
          <w:spacing w:val="14"/>
          <w:sz w:val="24"/>
          <w:szCs w:val="24"/>
        </w:rPr>
        <w:t>3.5 委托人意见或要求</w:t>
      </w:r>
      <w:bookmarkEnd w:id="586"/>
      <w:bookmarkEnd w:id="58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在本合同约定的监理与相关服务工作范围内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委托人对承包人的任何意见或要求应通知监理人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由监理人向承包人发出相应指令</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88" w:name="_Toc26879"/>
      <w:bookmarkStart w:id="589" w:name="_Toc7516"/>
      <w:r>
        <w:rPr>
          <w:rFonts w:hint="eastAsia" w:ascii="宋体" w:hAnsi="宋体" w:eastAsia="宋体" w:cs="宋体"/>
          <w:spacing w:val="14"/>
          <w:sz w:val="24"/>
          <w:szCs w:val="24"/>
        </w:rPr>
        <w:t>3.6 答复</w:t>
      </w:r>
      <w:bookmarkEnd w:id="588"/>
      <w:bookmarkEnd w:id="58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委托人应在专用条件约定的时间内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对监理人以书面形式提交并要求作出决定的事宜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给予书面答复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逾期未答复的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视为委托人认可</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90" w:name="_Toc4274"/>
      <w:bookmarkStart w:id="591" w:name="_Toc23221"/>
      <w:r>
        <w:rPr>
          <w:rFonts w:hint="eastAsia" w:ascii="宋体" w:hAnsi="宋体" w:eastAsia="宋体" w:cs="宋体"/>
          <w:spacing w:val="14"/>
          <w:sz w:val="24"/>
          <w:szCs w:val="24"/>
        </w:rPr>
        <w:t>3.7 支付</w:t>
      </w:r>
      <w:bookmarkEnd w:id="590"/>
      <w:bookmarkEnd w:id="59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委托人应按本合同约定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向监理人支付酬金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592" w:name="_Toc15251"/>
      <w:bookmarkStart w:id="593" w:name="_Toc27772"/>
      <w:r>
        <w:rPr>
          <w:rFonts w:hint="eastAsia" w:ascii="宋体" w:hAnsi="宋体" w:eastAsia="宋体" w:cs="宋体"/>
          <w:spacing w:val="14"/>
          <w:sz w:val="24"/>
          <w:szCs w:val="24"/>
        </w:rPr>
        <w:t>4. 违约责任</w:t>
      </w:r>
      <w:bookmarkEnd w:id="592"/>
      <w:bookmarkEnd w:id="59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94" w:name="_Toc19517"/>
      <w:bookmarkStart w:id="595" w:name="_Toc11299"/>
      <w:r>
        <w:rPr>
          <w:rFonts w:hint="eastAsia" w:ascii="宋体" w:hAnsi="宋体" w:eastAsia="宋体" w:cs="宋体"/>
          <w:spacing w:val="14"/>
          <w:sz w:val="24"/>
          <w:szCs w:val="24"/>
        </w:rPr>
        <w:t>4.1 监理人的违约责任</w:t>
      </w:r>
      <w:bookmarkEnd w:id="594"/>
      <w:bookmarkEnd w:id="59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监理人未履行本合同义务的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应承担相应的责任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4.1.1 因监理人违反本合同约定给委托人造成损失的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监理人应当赔偿委托人损失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赔偿金额的确定方法在专用条件中约定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监理人承担部分赔偿责任的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其承担赔偿金额由双方协商确定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4.1.2 监理人向委托人的索赔不成立时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监理人应赔偿委托人由此发生的费用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96" w:name="_Toc28811"/>
      <w:bookmarkStart w:id="597" w:name="_Toc22253"/>
      <w:r>
        <w:rPr>
          <w:rFonts w:hint="eastAsia" w:ascii="宋体" w:hAnsi="宋体" w:eastAsia="宋体" w:cs="宋体"/>
          <w:spacing w:val="14"/>
          <w:sz w:val="24"/>
          <w:szCs w:val="24"/>
        </w:rPr>
        <w:t>4.2 委托人的违约责任</w:t>
      </w:r>
      <w:bookmarkEnd w:id="596"/>
      <w:bookmarkEnd w:id="59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委托人未履行本合同义务的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应承担相应的责任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4.2.1 委托人违反本合同约定造成监理人损失的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委托人应予以赔偿</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4.2.2 委托人向监理人的索赔不成立时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应赔偿监理人由此引起的费用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4.2.3 委托人未能按期支付酬金超过28天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应按专用条件约定支付逾期付款利息</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98" w:name="_Toc7790"/>
      <w:bookmarkStart w:id="599" w:name="_Toc32573"/>
      <w:r>
        <w:rPr>
          <w:rFonts w:hint="eastAsia" w:ascii="宋体" w:hAnsi="宋体" w:eastAsia="宋体" w:cs="宋体"/>
          <w:spacing w:val="14"/>
          <w:sz w:val="24"/>
          <w:szCs w:val="24"/>
        </w:rPr>
        <w:t>4.3 除外责任</w:t>
      </w:r>
      <w:bookmarkEnd w:id="598"/>
      <w:bookmarkEnd w:id="59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因非监理人的原因</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且监理人无过错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发生工程质量事故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安全事故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工期延误等造成的损失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监理人不承担赔偿责任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因不可抗力导致本合同全部或部分不能履行时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双方各自承担其因此而造成的损失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损害</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600" w:name="_Toc6771"/>
      <w:bookmarkStart w:id="601" w:name="_Toc11086"/>
      <w:r>
        <w:rPr>
          <w:rFonts w:hint="eastAsia" w:ascii="宋体" w:hAnsi="宋体" w:eastAsia="宋体" w:cs="宋体"/>
          <w:spacing w:val="14"/>
          <w:sz w:val="24"/>
          <w:szCs w:val="24"/>
        </w:rPr>
        <w:t>5. 支付</w:t>
      </w:r>
      <w:bookmarkEnd w:id="600"/>
      <w:bookmarkEnd w:id="60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02" w:name="_Toc19524"/>
      <w:bookmarkStart w:id="603" w:name="_Toc8654"/>
      <w:r>
        <w:rPr>
          <w:rFonts w:hint="eastAsia" w:ascii="宋体" w:hAnsi="宋体" w:eastAsia="宋体" w:cs="宋体"/>
          <w:spacing w:val="14"/>
          <w:sz w:val="24"/>
          <w:szCs w:val="24"/>
        </w:rPr>
        <w:t>5.1 支付货币</w:t>
      </w:r>
      <w:bookmarkEnd w:id="602"/>
      <w:bookmarkEnd w:id="60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除专用条件另有约定外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酬金均以人民币支付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涉及外币支付的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所采用的货币种类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比例和汇率在专用条件中约定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04" w:name="_Toc121"/>
      <w:bookmarkStart w:id="605" w:name="_Toc12564"/>
      <w:r>
        <w:rPr>
          <w:rFonts w:hint="eastAsia" w:ascii="宋体" w:hAnsi="宋体" w:eastAsia="宋体" w:cs="宋体"/>
          <w:spacing w:val="14"/>
          <w:sz w:val="24"/>
          <w:szCs w:val="24"/>
        </w:rPr>
        <w:t>5.2 支付申请</w:t>
      </w:r>
      <w:bookmarkEnd w:id="604"/>
      <w:bookmarkEnd w:id="60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监理人应在本合同约定的每次应付款时间的7天前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向委托人提交支付申请书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支付申请书应当说明当期应付款总额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并列出当期应支付的款项及其金额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06" w:name="_Toc4158"/>
      <w:bookmarkStart w:id="607" w:name="_Toc18228"/>
      <w:r>
        <w:rPr>
          <w:rFonts w:hint="eastAsia" w:ascii="宋体" w:hAnsi="宋体" w:eastAsia="宋体" w:cs="宋体"/>
          <w:spacing w:val="14"/>
          <w:sz w:val="24"/>
          <w:szCs w:val="24"/>
        </w:rPr>
        <w:t>5.3 支付酬金</w:t>
      </w:r>
      <w:bookmarkEnd w:id="606"/>
      <w:bookmarkEnd w:id="60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支付的酬金包括正常工作酬金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附加工作酬金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合理化建议奖励金额及费用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08" w:name="_Toc23519"/>
      <w:bookmarkStart w:id="609" w:name="_Toc18427"/>
      <w:r>
        <w:rPr>
          <w:rFonts w:hint="eastAsia" w:ascii="宋体" w:hAnsi="宋体" w:eastAsia="宋体" w:cs="宋体"/>
          <w:spacing w:val="14"/>
          <w:sz w:val="24"/>
          <w:szCs w:val="24"/>
        </w:rPr>
        <w:t>5.4 有争议部分的付款</w:t>
      </w:r>
      <w:bookmarkEnd w:id="608"/>
      <w:bookmarkEnd w:id="60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委托人对监理人提交的支付申请书有异议时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应当在收到监理人提交的支付申请书后7天内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以书面形式向监理人发出异议通知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无异议部分的款项应按期支付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有异议部分的款项按第7条约定办理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610" w:name="_Toc3888"/>
      <w:bookmarkStart w:id="611" w:name="_Toc18388"/>
      <w:r>
        <w:rPr>
          <w:rFonts w:hint="eastAsia" w:ascii="宋体" w:hAnsi="宋体" w:eastAsia="宋体" w:cs="宋体"/>
          <w:spacing w:val="14"/>
          <w:sz w:val="24"/>
          <w:szCs w:val="24"/>
        </w:rPr>
        <w:t>6. 合同生效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暂停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解除与终止</w:t>
      </w:r>
      <w:bookmarkEnd w:id="610"/>
      <w:bookmarkEnd w:id="61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12" w:name="_Toc14551"/>
      <w:bookmarkStart w:id="613" w:name="_Toc17316"/>
      <w:r>
        <w:rPr>
          <w:rFonts w:hint="eastAsia" w:ascii="宋体" w:hAnsi="宋体" w:eastAsia="宋体" w:cs="宋体"/>
          <w:spacing w:val="14"/>
          <w:sz w:val="24"/>
          <w:szCs w:val="24"/>
        </w:rPr>
        <w:t>6.1生效</w:t>
      </w:r>
      <w:bookmarkEnd w:id="612"/>
      <w:bookmarkEnd w:id="61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除法律另有规定或者专用条件另有约定外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委托人和监理人的法定代表人或其授权代理人在协议书上签字并盖单位章后本合同生效</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6.2</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6.2.1 任何一方提出请求时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双方经协商一致后可进行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6.2.2除不可抗力外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因非监理人原因导致监理人履行合同期限延长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内容增加时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监理人应当将此情况与可能产生的影响及时通知委托人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增加的监理工作时间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工作内容应视为附加工作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附加工作酬金的确定方法在专用条件中约定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6.2.3合同生效后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如果实际情况发生变化使得监理人不能完成全部或部分工作时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监理人应立即通知委托人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除不可抗力外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其善后工作以及恢复服务的准备工作应为附加工作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附加工作酬金的确定方法在专用条件中约定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监理人用于恢复服务的准备时间不应超过28天</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6.2.4合同签订后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遇有与工程相关的法律法规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标准颁布或修订的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双方应遵照执行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由此引起监理与相关服务的范围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时间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酬金变化的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双方应通过协商进行相应调整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6.2.5 因非监理人原因造成工程概算投资额或建筑安装工程费增加时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正常工作酬金应作相应调整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调整方法在专用条件中约定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6.2.6 因工程规模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监理范围的变化导致监理人的正常工作量减少时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正常工作酬金应作相应调整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调整方法在专用条件中约定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14" w:name="_Toc8919"/>
      <w:bookmarkStart w:id="615" w:name="_Toc5120"/>
      <w:r>
        <w:rPr>
          <w:rFonts w:hint="eastAsia" w:ascii="宋体" w:hAnsi="宋体" w:eastAsia="宋体" w:cs="宋体"/>
          <w:spacing w:val="14"/>
          <w:sz w:val="24"/>
          <w:szCs w:val="24"/>
        </w:rPr>
        <w:t>6.3 暂停与解除</w:t>
      </w:r>
      <w:bookmarkEnd w:id="614"/>
      <w:bookmarkEnd w:id="61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除双方协商一致可以解除本合同外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当一方无正当理由未履行本合同约定的义务时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另一方可以根据本合同约定暂停履行本合同直至解除本合同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6.3.1 在本合同有效期内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由于双方无法预见和控制的原因导致本合同全部或部分无法继续履行或继续履行已无意义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经双方协商一致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可以解除本合同或监理人的部分义务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在解除之前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监理人应作出合理安排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使开支减至最小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因解除本合同或解除监理人的部分义务导致监理人遭受的损失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除依法可以免除责任的情况外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应由委托人予以补偿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补偿金额由双方协商确定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解除本合同的协议必须采取书面形式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协议未达成之前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本合同仍然有效</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6.3.2 在本合同有效期内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因非监理人的原因导致工程施工全部或部分暂停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委托人可通知监理人要求暂停全部或部分工作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监理人应立即安排停止工作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并将开支减至最小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除不可抗力外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由此导致监理人遭受的损失应由委托人予以补偿</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暂停部分监理与相关服务时间超过182天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监理人可发出解除本合同约定的该部分义务的通知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暂停全部工作时间超过182天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监理人可发出解除本合同的通知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本合同自通知到达委托人时解除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委托人应将监理与相关服务的酬金支付至本合同解除日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且应承担第4.2款约定的责任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6.3.3 当监理人无正当理由未履行本合同约定的义务时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委托人应通知监理人限期改正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若委托人在监理人接到通知后的7天内未收到监理人书面形式的合理解释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则可在7天内发出解除本合同的通知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自通知到达监理人时本合同解除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委托人应将监理与相关服务的酬金支付至限期改正通知到达监理人之日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但监理人应承担第4.1款约定的责任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6.3.4 监理人在专用条件5.3中约定的支付之日起28天后仍未收到委托人按本合同约定应付的款项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可向委托人发出催付通知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委托人接到通知14天后仍未支付或未提出监理人可以接受的延期支付安排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监理人可向委托人发出暂停工作的通知并可自行暂停全部或部分工作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暂停工作后14天内监理人仍未获得委托人应付酬金或委托人的合理答复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监理人可向委托人发出解除本合同的通知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自通知到达委托人时本合同解除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委托人应承担第4.2.3款约定的责任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6.3.5 因不可抗力致使本合同部分或全部不能履行时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一方应立即通知另一方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可暂停或解除本合同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6.3.6 本合同解除后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本合同约定的有关结算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清理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争议解决方式的条件仍然有效</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16" w:name="_Toc23220"/>
      <w:bookmarkStart w:id="617" w:name="_Toc30194"/>
      <w:r>
        <w:rPr>
          <w:rFonts w:hint="eastAsia" w:ascii="宋体" w:hAnsi="宋体" w:eastAsia="宋体" w:cs="宋体"/>
          <w:spacing w:val="14"/>
          <w:sz w:val="24"/>
          <w:szCs w:val="24"/>
        </w:rPr>
        <w:t>6.4 终止</w:t>
      </w:r>
      <w:bookmarkEnd w:id="616"/>
      <w:bookmarkEnd w:id="61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以下条件全部满足时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本合同即告终止：</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（1）监理人完成本合同约定的全部工作</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（2）委托人与监理人结清并支付全部酬金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618" w:name="_Toc2743"/>
      <w:bookmarkStart w:id="619" w:name="_Toc17023"/>
      <w:r>
        <w:rPr>
          <w:rFonts w:hint="eastAsia" w:ascii="宋体" w:hAnsi="宋体" w:eastAsia="宋体" w:cs="宋体"/>
          <w:spacing w:val="14"/>
          <w:sz w:val="24"/>
          <w:szCs w:val="24"/>
        </w:rPr>
        <w:t>7. 争议解决</w:t>
      </w:r>
      <w:bookmarkEnd w:id="618"/>
      <w:bookmarkEnd w:id="61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20" w:name="_Toc2126"/>
      <w:bookmarkStart w:id="621" w:name="_Toc860"/>
      <w:r>
        <w:rPr>
          <w:rFonts w:hint="eastAsia" w:ascii="宋体" w:hAnsi="宋体" w:eastAsia="宋体" w:cs="宋体"/>
          <w:spacing w:val="14"/>
          <w:sz w:val="24"/>
          <w:szCs w:val="24"/>
        </w:rPr>
        <w:t>7.1协商</w:t>
      </w:r>
      <w:bookmarkEnd w:id="620"/>
      <w:bookmarkEnd w:id="62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双方应本着诚信原则协商解决彼此间的争议</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22" w:name="_Toc5159"/>
      <w:bookmarkStart w:id="623" w:name="_Toc26966"/>
      <w:r>
        <w:rPr>
          <w:rFonts w:hint="eastAsia" w:ascii="宋体" w:hAnsi="宋体" w:eastAsia="宋体" w:cs="宋体"/>
          <w:spacing w:val="14"/>
          <w:sz w:val="24"/>
          <w:szCs w:val="24"/>
        </w:rPr>
        <w:t>7.2调解</w:t>
      </w:r>
      <w:bookmarkEnd w:id="622"/>
      <w:bookmarkEnd w:id="62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如果双方不能在14天内或双方商定的其他时间内解决本合同争议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可以将其提交给专用条件约定的或事后达成协议的调解人进行调解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24" w:name="_Toc21201"/>
      <w:bookmarkStart w:id="625" w:name="_Toc28871"/>
      <w:r>
        <w:rPr>
          <w:rFonts w:hint="eastAsia" w:ascii="宋体" w:hAnsi="宋体" w:eastAsia="宋体" w:cs="宋体"/>
          <w:spacing w:val="14"/>
          <w:sz w:val="24"/>
          <w:szCs w:val="24"/>
        </w:rPr>
        <w:t>7.3仲裁或诉讼</w:t>
      </w:r>
      <w:bookmarkEnd w:id="624"/>
      <w:bookmarkEnd w:id="62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双方均有权不经调解直接向专用条件约定的仲裁机构申请仲裁或向有管辖权的人民法院提起诉讼</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626" w:name="_Toc16926"/>
      <w:bookmarkStart w:id="627" w:name="_Toc29449"/>
      <w:r>
        <w:rPr>
          <w:rFonts w:hint="eastAsia" w:ascii="宋体" w:hAnsi="宋体" w:eastAsia="宋体" w:cs="宋体"/>
          <w:spacing w:val="14"/>
          <w:sz w:val="24"/>
          <w:szCs w:val="24"/>
        </w:rPr>
        <w:t>8. 其他</w:t>
      </w:r>
      <w:bookmarkEnd w:id="626"/>
      <w:bookmarkEnd w:id="62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28" w:name="_Toc14091"/>
      <w:bookmarkStart w:id="629" w:name="_Toc6638"/>
      <w:r>
        <w:rPr>
          <w:rFonts w:hint="eastAsia" w:ascii="宋体" w:hAnsi="宋体" w:eastAsia="宋体" w:cs="宋体"/>
          <w:spacing w:val="14"/>
          <w:sz w:val="24"/>
          <w:szCs w:val="24"/>
        </w:rPr>
        <w:t>8.1 外出考察费用</w:t>
      </w:r>
      <w:bookmarkEnd w:id="628"/>
      <w:bookmarkEnd w:id="62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经委托人同意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监理人员外出考察发生的费用由委托人审核后支付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30" w:name="_Toc30193"/>
      <w:bookmarkStart w:id="631" w:name="_Toc440"/>
      <w:r>
        <w:rPr>
          <w:rFonts w:hint="eastAsia" w:ascii="宋体" w:hAnsi="宋体" w:eastAsia="宋体" w:cs="宋体"/>
          <w:spacing w:val="14"/>
          <w:sz w:val="24"/>
          <w:szCs w:val="24"/>
        </w:rPr>
        <w:t>8.2 检测费用</w:t>
      </w:r>
      <w:bookmarkEnd w:id="630"/>
      <w:bookmarkEnd w:id="63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委托人要求监理人进行的材料和设备检测所发生的费用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由委托人支付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支付时间在专用条件中约定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32" w:name="_Toc3971"/>
      <w:bookmarkStart w:id="633" w:name="_Toc8902"/>
      <w:r>
        <w:rPr>
          <w:rFonts w:hint="eastAsia" w:ascii="宋体" w:hAnsi="宋体" w:eastAsia="宋体" w:cs="宋体"/>
          <w:spacing w:val="14"/>
          <w:sz w:val="24"/>
          <w:szCs w:val="24"/>
        </w:rPr>
        <w:t>8.3 咨询费用</w:t>
      </w:r>
      <w:bookmarkEnd w:id="632"/>
      <w:bookmarkEnd w:id="63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经委托人同意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根据工程需要由监理人组织的相关咨询论证会以及聘请相关专家等发生的费用由委托人支付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支付时间在专用条件中约定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34" w:name="_Toc216"/>
      <w:bookmarkStart w:id="635" w:name="_Toc7708"/>
      <w:r>
        <w:rPr>
          <w:rFonts w:hint="eastAsia" w:ascii="宋体" w:hAnsi="宋体" w:eastAsia="宋体" w:cs="宋体"/>
          <w:spacing w:val="14"/>
          <w:sz w:val="24"/>
          <w:szCs w:val="24"/>
        </w:rPr>
        <w:t>8.4 奖励</w:t>
      </w:r>
      <w:bookmarkEnd w:id="634"/>
      <w:bookmarkEnd w:id="63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监理人在服务过程中提出的合理化建议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使委托人获得经济效益的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双方在专用条件中约定奖励金额的确定方法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奖励金额在合理化建议被采纳后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与最近一期的正常工作酬金同期支付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36" w:name="_Toc1553"/>
      <w:bookmarkStart w:id="637" w:name="_Toc868"/>
      <w:r>
        <w:rPr>
          <w:rFonts w:hint="eastAsia" w:ascii="宋体" w:hAnsi="宋体" w:eastAsia="宋体" w:cs="宋体"/>
          <w:spacing w:val="14"/>
          <w:sz w:val="24"/>
          <w:szCs w:val="24"/>
        </w:rPr>
        <w:t>8.5 守法诚信</w:t>
      </w:r>
      <w:bookmarkEnd w:id="636"/>
      <w:bookmarkEnd w:id="63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监理人及其工作人员不得从与实施工程有关的第三方处获得任何经济利益</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38" w:name="_Toc8167"/>
      <w:bookmarkStart w:id="639" w:name="_Toc1582"/>
      <w:r>
        <w:rPr>
          <w:rFonts w:hint="eastAsia" w:ascii="宋体" w:hAnsi="宋体" w:eastAsia="宋体" w:cs="宋体"/>
          <w:spacing w:val="14"/>
          <w:sz w:val="24"/>
          <w:szCs w:val="24"/>
        </w:rPr>
        <w:t>8.6 保密</w:t>
      </w:r>
      <w:bookmarkEnd w:id="638"/>
      <w:bookmarkEnd w:id="63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双方不得泄露对方申明的保密资料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亦不得泄露与实施工程有关的第三方所提供的保密资料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保密事项在专用条件中约定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40" w:name="_Toc30328"/>
      <w:bookmarkStart w:id="641" w:name="_Toc31858"/>
      <w:r>
        <w:rPr>
          <w:rFonts w:hint="eastAsia" w:ascii="宋体" w:hAnsi="宋体" w:eastAsia="宋体" w:cs="宋体"/>
          <w:spacing w:val="14"/>
          <w:sz w:val="24"/>
          <w:szCs w:val="24"/>
        </w:rPr>
        <w:t>8.7 通知</w:t>
      </w:r>
      <w:bookmarkEnd w:id="640"/>
      <w:bookmarkEnd w:id="64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本合同涉及的通知均应当采用书面形式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并在送达对方时生效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收件人应书面签收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42" w:name="_Toc31486"/>
      <w:bookmarkStart w:id="643" w:name="_Toc1005"/>
      <w:r>
        <w:rPr>
          <w:rFonts w:hint="eastAsia" w:ascii="宋体" w:hAnsi="宋体" w:eastAsia="宋体" w:cs="宋体"/>
          <w:spacing w:val="14"/>
          <w:sz w:val="24"/>
          <w:szCs w:val="24"/>
        </w:rPr>
        <w:t>8.8 著作权</w:t>
      </w:r>
      <w:bookmarkEnd w:id="642"/>
      <w:bookmarkEnd w:id="64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监理人对其编制的文件拥有著作权</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监理人可单独或与他人联合出版有关监理与相关服务的资料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除专用条件另有约定外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如果监理人在本合同履行期间及本合同终止后两年内出版涉及本工程的有关监理与相关服务的资料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应当征得委托人的同意</w:t>
      </w:r>
      <w:r>
        <w:rPr>
          <w:rFonts w:hint="eastAsia" w:ascii="宋体" w:hAnsi="宋体" w:eastAsia="宋体" w:cs="宋体"/>
          <w:spacing w:val="14"/>
          <w:sz w:val="24"/>
          <w:szCs w:val="24"/>
          <w:lang w:eastAsia="zh-CN"/>
        </w:rPr>
        <w:t>。</w:t>
      </w:r>
    </w:p>
    <w:p>
      <w:pPr>
        <w:rPr>
          <w:rFonts w:ascii="宋体" w:hAnsi="宋体" w:eastAsia="宋体" w:cs="宋体"/>
          <w:spacing w:val="13"/>
          <w:sz w:val="31"/>
          <w:szCs w:val="31"/>
          <w14:textOutline w14:w="5793" w14:cap="sq" w14:cmpd="sng">
            <w14:solidFill>
              <w14:srgbClr w14:val="000000"/>
            </w14:solidFill>
            <w14:prstDash w14:val="solid"/>
            <w14:bevel/>
          </w14:textOutline>
        </w:rPr>
      </w:pPr>
      <w:r>
        <w:rPr>
          <w:rFonts w:ascii="宋体" w:hAnsi="宋体" w:eastAsia="宋体" w:cs="宋体"/>
          <w:spacing w:val="13"/>
          <w:sz w:val="31"/>
          <w:szCs w:val="31"/>
          <w14:textOutline w14:w="5793" w14:cap="sq" w14:cmpd="sng">
            <w14:solidFill>
              <w14:srgbClr w14:val="000000"/>
            </w14:solidFill>
            <w14:prstDash w14:val="solid"/>
            <w14:bevel/>
          </w14:textOutline>
        </w:rPr>
        <w:br w:type="page"/>
      </w:r>
    </w:p>
    <w:p>
      <w:pPr>
        <w:pStyle w:val="2"/>
        <w:bidi w:val="0"/>
        <w:rPr>
          <w:rFonts w:hint="eastAsia" w:ascii="宋体" w:hAnsi="宋体" w:eastAsia="宋体" w:cs="宋体"/>
          <w:lang w:eastAsia="zh-CN"/>
        </w:rPr>
      </w:pPr>
      <w:bookmarkStart w:id="644" w:name="_Toc15390"/>
      <w:r>
        <w:rPr>
          <w:rFonts w:hint="eastAsia" w:ascii="宋体" w:hAnsi="宋体" w:eastAsia="宋体" w:cs="宋体"/>
        </w:rPr>
        <w:t>五</w:t>
      </w:r>
      <w:r>
        <w:rPr>
          <w:rFonts w:hint="eastAsia" w:ascii="宋体" w:hAnsi="宋体" w:eastAsia="宋体" w:cs="宋体"/>
          <w:lang w:eastAsia="zh-CN"/>
        </w:rPr>
        <w:t>、变更资料</w:t>
      </w:r>
      <w:bookmarkEnd w:id="644"/>
    </w:p>
    <w:p>
      <w:pPr>
        <w:spacing w:before="75" w:line="402" w:lineRule="auto"/>
        <w:ind w:left="1" w:hanging="1"/>
        <w:rPr>
          <w:rFonts w:hint="eastAsia" w:ascii="宋体" w:hAnsi="宋体" w:eastAsia="宋体" w:cs="宋体"/>
          <w:spacing w:val="14"/>
          <w:sz w:val="24"/>
          <w:szCs w:val="24"/>
          <w:lang w:eastAsia="zh-CN"/>
          <w14:textOutline w14:w="4358" w14:cap="sq" w14:cmpd="sng">
            <w14:solidFill>
              <w14:srgbClr w14:val="000000"/>
            </w14:solidFill>
            <w14:prstDash w14:val="solid"/>
            <w14:bevel/>
          </w14:textOutline>
        </w:rPr>
      </w:pPr>
      <w:r>
        <w:rPr>
          <w:rFonts w:hint="eastAsia" w:ascii="宋体" w:hAnsi="宋体" w:eastAsia="宋体" w:cs="宋体"/>
          <w:spacing w:val="14"/>
          <w:sz w:val="24"/>
          <w:szCs w:val="24"/>
          <w:lang w:eastAsia="zh-CN"/>
          <w14:textOutline w14:w="4358" w14:cap="sq" w14:cmpd="sng">
            <w14:solidFill>
              <w14:srgbClr w14:val="000000"/>
            </w14:solidFill>
            <w14:prstDash w14:val="solid"/>
            <w14:bevel/>
          </w14:textOutline>
        </w:rPr>
        <w:t>变更通知</w:t>
      </w:r>
    </w:p>
    <w:tbl>
      <w:tblPr>
        <w:tblStyle w:val="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317"/>
        <w:gridCol w:w="2576"/>
        <w:gridCol w:w="1426"/>
        <w:gridCol w:w="1713"/>
        <w:gridCol w:w="19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8" w:hRule="atLeast"/>
        </w:trPr>
        <w:tc>
          <w:tcPr>
            <w:tcW w:w="5000" w:type="pct"/>
            <w:gridSpan w:val="5"/>
            <w:tcBorders>
              <w:top w:val="nil"/>
              <w:left w:val="nil"/>
              <w:bottom w:val="nil"/>
              <w:right w:val="nil"/>
            </w:tcBorders>
            <w:shd w:val="clear" w:color="auto" w:fill="auto"/>
            <w:vAlign w:val="top"/>
          </w:tcPr>
          <w:p>
            <w:pPr>
              <w:keepNext w:val="0"/>
              <w:keepLines w:val="0"/>
              <w:widowControl/>
              <w:suppressLineNumbers w:val="0"/>
              <w:jc w:val="center"/>
              <w:textAlignment w:val="top"/>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snapToGrid w:val="0"/>
                <w:color w:val="000000"/>
                <w:kern w:val="0"/>
                <w:sz w:val="36"/>
                <w:szCs w:val="36"/>
                <w:u w:val="none"/>
                <w:lang w:val="en-US" w:eastAsia="zh-CN" w:bidi="ar"/>
              </w:rPr>
              <w:t>兰磨高速公路建设项目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5000" w:type="pct"/>
            <w:gridSpan w:val="5"/>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32"/>
                <w:szCs w:val="32"/>
                <w:u w:val="none"/>
                <w:lang w:val="en-US"/>
              </w:rPr>
            </w:pPr>
            <w:r>
              <w:rPr>
                <w:rFonts w:hint="eastAsia" w:ascii="宋体" w:hAnsi="宋体" w:eastAsia="宋体" w:cs="宋体"/>
                <w:b/>
                <w:bCs/>
                <w:i w:val="0"/>
                <w:iCs w:val="0"/>
                <w:snapToGrid w:val="0"/>
                <w:color w:val="000000"/>
                <w:kern w:val="0"/>
                <w:sz w:val="32"/>
                <w:szCs w:val="32"/>
                <w:u w:val="none"/>
                <w:lang w:val="en-US" w:eastAsia="zh-CN" w:bidi="ar"/>
              </w:rPr>
              <w:t>设计变更立项审批表/变更通知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5000" w:type="pct"/>
            <w:gridSpan w:val="5"/>
            <w:tcBorders>
              <w:top w:val="nil"/>
              <w:left w:val="nil"/>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                                                            编号：LM-BGTZ-A3-006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trPr>
        <w:tc>
          <w:tcPr>
            <w:tcW w:w="1165" w:type="pct"/>
            <w:tcBorders>
              <w:top w:val="single" w:color="000000" w:sz="8"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项目名称</w:t>
            </w:r>
          </w:p>
        </w:tc>
        <w:tc>
          <w:tcPr>
            <w:tcW w:w="2012" w:type="pct"/>
            <w:gridSpan w:val="2"/>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兰磨高速公路建设项目</w:t>
            </w:r>
          </w:p>
        </w:tc>
        <w:tc>
          <w:tcPr>
            <w:tcW w:w="861" w:type="pct"/>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变更提出日期</w:t>
            </w:r>
          </w:p>
        </w:tc>
        <w:tc>
          <w:tcPr>
            <w:tcW w:w="960" w:type="pct"/>
            <w:tcBorders>
              <w:top w:val="single" w:color="000000" w:sz="8"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2021年4月1日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5" w:hRule="atLeast"/>
        </w:trPr>
        <w:tc>
          <w:tcPr>
            <w:tcW w:w="1165"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工程变更名称</w:t>
            </w:r>
          </w:p>
        </w:tc>
        <w:tc>
          <w:tcPr>
            <w:tcW w:w="20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snapToGrid w:val="0"/>
                <w:color w:val="000000"/>
                <w:kern w:val="0"/>
                <w:sz w:val="20"/>
                <w:szCs w:val="20"/>
                <w:u w:val="none"/>
                <w:lang w:val="en-US" w:eastAsia="zh-CN" w:bidi="ar"/>
              </w:rPr>
              <w:t>兰磨1#大桥左线0#台桩基桩长变更</w:t>
            </w:r>
          </w:p>
        </w:tc>
        <w:tc>
          <w:tcPr>
            <w:tcW w:w="86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变更部位及桩号</w:t>
            </w:r>
          </w:p>
        </w:tc>
        <w:tc>
          <w:tcPr>
            <w:tcW w:w="9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兰磨1#大桥左线0#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165"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变更提出人</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慧众建设有限公司</w:t>
            </w: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监理人</w:t>
            </w:r>
          </w:p>
        </w:tc>
        <w:tc>
          <w:tcPr>
            <w:tcW w:w="18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春乔交通工程监理咨询有限公司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5" w:hRule="atLeast"/>
        </w:trPr>
        <w:tc>
          <w:tcPr>
            <w:tcW w:w="1165"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原设计人</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云南交通工程设计院</w:t>
            </w: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承包人</w:t>
            </w:r>
          </w:p>
        </w:tc>
        <w:tc>
          <w:tcPr>
            <w:tcW w:w="18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慧众建设有限公司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165"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合同段</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三标段</w:t>
            </w: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变更性质</w:t>
            </w:r>
          </w:p>
        </w:tc>
        <w:tc>
          <w:tcPr>
            <w:tcW w:w="18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(C）类设计变更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0" w:hRule="atLeast"/>
        </w:trPr>
        <w:tc>
          <w:tcPr>
            <w:tcW w:w="1165"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是否为抢险工程</w:t>
            </w:r>
          </w:p>
        </w:tc>
        <w:tc>
          <w:tcPr>
            <w:tcW w:w="1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否</w:t>
            </w:r>
          </w:p>
        </w:tc>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变更预估金额</w:t>
            </w:r>
          </w:p>
        </w:tc>
        <w:tc>
          <w:tcPr>
            <w:tcW w:w="182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snapToGrid w:val="0"/>
                <w:color w:val="000000"/>
                <w:kern w:val="0"/>
                <w:sz w:val="20"/>
                <w:szCs w:val="20"/>
                <w:u w:val="none"/>
                <w:lang w:val="en-US" w:eastAsia="zh-CN" w:bidi="ar"/>
              </w:rPr>
              <w:t>-10911.24元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165" w:type="pct"/>
            <w:vMerge w:val="restar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设计变更原因</w:t>
            </w:r>
          </w:p>
        </w:tc>
        <w:tc>
          <w:tcPr>
            <w:tcW w:w="3834" w:type="pct"/>
            <w:gridSpan w:val="4"/>
            <w:vMerge w:val="restart"/>
            <w:tcBorders>
              <w:top w:val="single" w:color="000000" w:sz="4" w:space="0"/>
              <w:left w:val="single" w:color="000000" w:sz="4" w:space="0"/>
              <w:bottom w:val="single" w:color="000000" w:sz="4" w:space="0"/>
              <w:right w:val="single" w:color="000000" w:sz="8"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□原设计错误、遗漏        □与原设计地勘不符        □优化原设计</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□技术标准、规范发生变化  □修改工艺技术            □合理化建议</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□改变使用功能            □增减工程量              □工期调整</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□地方政府或有关部门要求  □地质、气象等灾害        □其他</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本次设计变更原因：与原设计地勘不符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165"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3834" w:type="pct"/>
            <w:gridSpan w:val="4"/>
            <w:vMerge w:val="continue"/>
            <w:tcBorders>
              <w:top w:val="single" w:color="000000" w:sz="4" w:space="0"/>
              <w:left w:val="single" w:color="000000" w:sz="4" w:space="0"/>
              <w:bottom w:val="single" w:color="000000" w:sz="4" w:space="0"/>
              <w:right w:val="single" w:color="000000" w:sz="8" w:space="0"/>
            </w:tcBorders>
            <w:shd w:val="clear" w:color="auto" w:fill="auto"/>
            <w:vAlign w:val="top"/>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165"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3834" w:type="pct"/>
            <w:gridSpan w:val="4"/>
            <w:vMerge w:val="continue"/>
            <w:tcBorders>
              <w:top w:val="single" w:color="000000" w:sz="4" w:space="0"/>
              <w:left w:val="single" w:color="000000" w:sz="4" w:space="0"/>
              <w:bottom w:val="single" w:color="000000" w:sz="4" w:space="0"/>
              <w:right w:val="single" w:color="000000" w:sz="8" w:space="0"/>
            </w:tcBorders>
            <w:shd w:val="clear" w:color="auto" w:fill="auto"/>
            <w:vAlign w:val="top"/>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1165"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3834" w:type="pct"/>
            <w:gridSpan w:val="4"/>
            <w:vMerge w:val="continue"/>
            <w:tcBorders>
              <w:top w:val="single" w:color="000000" w:sz="4" w:space="0"/>
              <w:left w:val="single" w:color="000000" w:sz="4" w:space="0"/>
              <w:bottom w:val="single" w:color="000000" w:sz="4" w:space="0"/>
              <w:right w:val="single" w:color="000000" w:sz="8" w:space="0"/>
            </w:tcBorders>
            <w:shd w:val="clear" w:color="auto" w:fill="auto"/>
            <w:vAlign w:val="top"/>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165"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3834" w:type="pct"/>
            <w:gridSpan w:val="4"/>
            <w:vMerge w:val="continue"/>
            <w:tcBorders>
              <w:top w:val="single" w:color="000000" w:sz="4" w:space="0"/>
              <w:left w:val="single" w:color="000000" w:sz="4" w:space="0"/>
              <w:bottom w:val="single" w:color="000000" w:sz="4" w:space="0"/>
              <w:right w:val="single" w:color="000000" w:sz="8" w:space="0"/>
            </w:tcBorders>
            <w:shd w:val="clear" w:color="auto" w:fill="auto"/>
            <w:vAlign w:val="top"/>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2317" w:type="dxa"/>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原设计概况</w:t>
            </w:r>
          </w:p>
        </w:tc>
        <w:tc>
          <w:tcPr>
            <w:tcW w:w="3834" w:type="pct"/>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兰磨1#大桥左线0#台桩基原地勘报告为Ⅳ级弱稳定岩层。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2317" w:type="dxa"/>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变更方案</w:t>
            </w:r>
          </w:p>
        </w:tc>
        <w:tc>
          <w:tcPr>
            <w:tcW w:w="3834" w:type="pct"/>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变更原设计桩长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2317"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设计变更主要内容</w:t>
            </w:r>
          </w:p>
        </w:tc>
        <w:tc>
          <w:tcPr>
            <w:tcW w:w="3834" w:type="pct"/>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numPr>
                <w:ilvl w:val="0"/>
                <w:numId w:val="0"/>
              </w:numPr>
              <w:suppressLineNumbers w:val="0"/>
              <w:jc w:val="left"/>
              <w:textAlignment w:val="top"/>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1、减少基础光圆钢筋158kg</w:t>
            </w:r>
          </w:p>
          <w:p>
            <w:pPr>
              <w:keepNext w:val="0"/>
              <w:keepLines w:val="0"/>
              <w:widowControl/>
              <w:numPr>
                <w:ilvl w:val="0"/>
                <w:numId w:val="0"/>
              </w:numPr>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2、减少基础带肋钢筋436kg</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3、减少桩长6m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trPr>
        <w:tc>
          <w:tcPr>
            <w:tcW w:w="2317"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变更依据</w:t>
            </w:r>
          </w:p>
        </w:tc>
        <w:tc>
          <w:tcPr>
            <w:tcW w:w="3834" w:type="pct"/>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兰磨1#大桥左线0#台桩基原地勘报告为Ⅳ级弱稳定岩层，施工单位在施工过程中，发现与原地勘报告不符，实际勘测为Ⅲ级中等稳定岩层，岩石较硬，钻机无法钻至设计桩底高程，现申请进行桩长变更，减少左线0#台桩基（桩径1.2m）桩长4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1165" w:type="pct"/>
            <w:vMerge w:val="restar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承包人意见</w:t>
            </w:r>
          </w:p>
        </w:tc>
        <w:tc>
          <w:tcPr>
            <w:tcW w:w="3834" w:type="pct"/>
            <w:gridSpan w:val="4"/>
            <w:vMerge w:val="restart"/>
            <w:tcBorders>
              <w:top w:val="single" w:color="000000" w:sz="4" w:space="0"/>
              <w:left w:val="single" w:color="000000" w:sz="4" w:space="0"/>
              <w:bottom w:val="nil"/>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申请变更立项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65"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3834" w:type="pct"/>
            <w:gridSpan w:val="4"/>
            <w:vMerge w:val="continue"/>
            <w:tcBorders>
              <w:top w:val="single" w:color="000000" w:sz="4" w:space="0"/>
              <w:left w:val="single" w:color="000000" w:sz="4" w:space="0"/>
              <w:bottom w:val="nil"/>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1165"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95" w:type="pct"/>
            <w:tcBorders>
              <w:top w:val="nil"/>
              <w:left w:val="single" w:color="000000" w:sz="4" w:space="0"/>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签字：</w:t>
            </w:r>
          </w:p>
        </w:tc>
        <w:tc>
          <w:tcPr>
            <w:tcW w:w="716" w:type="pct"/>
            <w:tcBorders>
              <w:top w:val="nil"/>
              <w:left w:val="nil"/>
              <w:bottom w:val="single" w:color="000000" w:sz="4" w:space="0"/>
              <w:right w:val="nil"/>
            </w:tcBorders>
            <w:shd w:val="clear" w:color="auto" w:fill="auto"/>
            <w:noWrap/>
            <w:vAlign w:val="center"/>
          </w:tcPr>
          <w:p>
            <w:pPr>
              <w:rPr>
                <w:rFonts w:hint="eastAsia" w:ascii="宋体" w:hAnsi="宋体" w:eastAsia="宋体" w:cs="宋体"/>
                <w:i w:val="0"/>
                <w:iCs w:val="0"/>
                <w:color w:val="FFFFFF"/>
                <w:sz w:val="10"/>
                <w:szCs w:val="10"/>
                <w:u w:val="none"/>
              </w:rPr>
            </w:pPr>
          </w:p>
        </w:tc>
        <w:tc>
          <w:tcPr>
            <w:tcW w:w="861" w:type="pct"/>
            <w:tcBorders>
              <w:top w:val="nil"/>
              <w:left w:val="nil"/>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日期：</w:t>
            </w:r>
          </w:p>
        </w:tc>
        <w:tc>
          <w:tcPr>
            <w:tcW w:w="960" w:type="pct"/>
            <w:tcBorders>
              <w:top w:val="nil"/>
              <w:left w:val="nil"/>
              <w:bottom w:val="single" w:color="000000" w:sz="4" w:space="0"/>
              <w:right w:val="single" w:color="000000" w:sz="8"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1165" w:type="pct"/>
            <w:vMerge w:val="restar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监理单位意见</w:t>
            </w:r>
          </w:p>
        </w:tc>
        <w:tc>
          <w:tcPr>
            <w:tcW w:w="3834" w:type="pct"/>
            <w:gridSpan w:val="4"/>
            <w:vMerge w:val="restart"/>
            <w:tcBorders>
              <w:top w:val="single" w:color="000000" w:sz="4" w:space="0"/>
              <w:left w:val="single" w:color="000000" w:sz="4" w:space="0"/>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同意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1165"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3834" w:type="pct"/>
            <w:gridSpan w:val="4"/>
            <w:vMerge w:val="continue"/>
            <w:tcBorders>
              <w:top w:val="single" w:color="000000" w:sz="4" w:space="0"/>
              <w:left w:val="single" w:color="000000" w:sz="4" w:space="0"/>
              <w:bottom w:val="nil"/>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8" w:hRule="atLeast"/>
        </w:trPr>
        <w:tc>
          <w:tcPr>
            <w:tcW w:w="1165"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95" w:type="pct"/>
            <w:tcBorders>
              <w:top w:val="nil"/>
              <w:left w:val="single" w:color="000000" w:sz="4" w:space="0"/>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签字：</w:t>
            </w:r>
          </w:p>
        </w:tc>
        <w:tc>
          <w:tcPr>
            <w:tcW w:w="716" w:type="pct"/>
            <w:tcBorders>
              <w:top w:val="nil"/>
              <w:left w:val="nil"/>
              <w:bottom w:val="single" w:color="000000" w:sz="4" w:space="0"/>
              <w:right w:val="nil"/>
            </w:tcBorders>
            <w:shd w:val="clear" w:color="auto" w:fill="auto"/>
            <w:noWrap/>
            <w:vAlign w:val="center"/>
          </w:tcPr>
          <w:p>
            <w:pPr>
              <w:rPr>
                <w:rFonts w:hint="eastAsia" w:ascii="宋体" w:hAnsi="宋体" w:eastAsia="宋体" w:cs="宋体"/>
                <w:i w:val="0"/>
                <w:iCs w:val="0"/>
                <w:color w:val="FFFFFF"/>
                <w:sz w:val="10"/>
                <w:szCs w:val="10"/>
                <w:u w:val="none"/>
              </w:rPr>
            </w:pPr>
          </w:p>
        </w:tc>
        <w:tc>
          <w:tcPr>
            <w:tcW w:w="861" w:type="pct"/>
            <w:tcBorders>
              <w:top w:val="nil"/>
              <w:left w:val="nil"/>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日期：</w:t>
            </w:r>
          </w:p>
        </w:tc>
        <w:tc>
          <w:tcPr>
            <w:tcW w:w="960" w:type="pct"/>
            <w:tcBorders>
              <w:top w:val="nil"/>
              <w:left w:val="nil"/>
              <w:bottom w:val="single" w:color="000000" w:sz="4" w:space="0"/>
              <w:right w:val="single" w:color="000000" w:sz="8"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1165" w:type="pct"/>
            <w:vMerge w:val="restar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设计单位意见</w:t>
            </w:r>
          </w:p>
        </w:tc>
        <w:tc>
          <w:tcPr>
            <w:tcW w:w="3834" w:type="pct"/>
            <w:gridSpan w:val="4"/>
            <w:vMerge w:val="restart"/>
            <w:tcBorders>
              <w:top w:val="single" w:color="000000" w:sz="4" w:space="0"/>
              <w:left w:val="single" w:color="000000" w:sz="4" w:space="0"/>
              <w:bottom w:val="nil"/>
              <w:right w:val="single" w:color="000000" w:sz="8" w:space="0"/>
            </w:tcBorders>
            <w:shd w:val="clear" w:color="auto" w:fill="auto"/>
            <w:noWrap/>
            <w:vAlign w:val="center"/>
          </w:tcPr>
          <w:p>
            <w:pPr>
              <w:jc w:val="left"/>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同意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1165"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3834" w:type="pct"/>
            <w:gridSpan w:val="4"/>
            <w:vMerge w:val="continue"/>
            <w:tcBorders>
              <w:top w:val="single" w:color="000000" w:sz="4" w:space="0"/>
              <w:left w:val="single" w:color="000000" w:sz="4" w:space="0"/>
              <w:bottom w:val="nil"/>
              <w:right w:val="single" w:color="000000" w:sz="8"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3" w:hRule="atLeast"/>
        </w:trPr>
        <w:tc>
          <w:tcPr>
            <w:tcW w:w="1165"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95" w:type="pct"/>
            <w:tcBorders>
              <w:top w:val="nil"/>
              <w:left w:val="single" w:color="000000" w:sz="4" w:space="0"/>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签字：</w:t>
            </w:r>
          </w:p>
        </w:tc>
        <w:tc>
          <w:tcPr>
            <w:tcW w:w="716" w:type="pct"/>
            <w:tcBorders>
              <w:top w:val="nil"/>
              <w:left w:val="nil"/>
              <w:bottom w:val="single" w:color="000000" w:sz="4" w:space="0"/>
              <w:right w:val="nil"/>
            </w:tcBorders>
            <w:shd w:val="clear" w:color="auto" w:fill="auto"/>
            <w:noWrap/>
            <w:vAlign w:val="center"/>
          </w:tcPr>
          <w:p>
            <w:pPr>
              <w:rPr>
                <w:rFonts w:hint="eastAsia" w:ascii="宋体" w:hAnsi="宋体" w:eastAsia="宋体" w:cs="宋体"/>
                <w:i w:val="0"/>
                <w:iCs w:val="0"/>
                <w:color w:val="FFFFFF"/>
                <w:sz w:val="10"/>
                <w:szCs w:val="10"/>
                <w:u w:val="none"/>
              </w:rPr>
            </w:pPr>
          </w:p>
        </w:tc>
        <w:tc>
          <w:tcPr>
            <w:tcW w:w="861" w:type="pc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日期：</w:t>
            </w:r>
          </w:p>
        </w:tc>
        <w:tc>
          <w:tcPr>
            <w:tcW w:w="960" w:type="pct"/>
            <w:tcBorders>
              <w:top w:val="nil"/>
              <w:left w:val="nil"/>
              <w:bottom w:val="single" w:color="000000" w:sz="4" w:space="0"/>
              <w:right w:val="single" w:color="000000" w:sz="8"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165" w:type="pct"/>
            <w:vMerge w:val="restart"/>
            <w:tcBorders>
              <w:top w:val="single" w:color="000000" w:sz="4" w:space="0"/>
              <w:left w:val="single" w:color="000000" w:sz="8"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建设单位意见</w:t>
            </w:r>
          </w:p>
        </w:tc>
        <w:tc>
          <w:tcPr>
            <w:tcW w:w="3834" w:type="pct"/>
            <w:gridSpan w:val="4"/>
            <w:tcBorders>
              <w:top w:val="single" w:color="000000" w:sz="4" w:space="0"/>
              <w:left w:val="single" w:color="000000" w:sz="4" w:space="0"/>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同意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8" w:hRule="atLeast"/>
        </w:trPr>
        <w:tc>
          <w:tcPr>
            <w:tcW w:w="1165" w:type="pct"/>
            <w:vMerge w:val="continue"/>
            <w:tcBorders>
              <w:top w:val="single" w:color="000000" w:sz="4" w:space="0"/>
              <w:left w:val="single" w:color="000000" w:sz="8" w:space="0"/>
              <w:bottom w:val="single" w:color="000000" w:sz="8"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95" w:type="pct"/>
            <w:tcBorders>
              <w:top w:val="nil"/>
              <w:left w:val="single" w:color="000000" w:sz="4" w:space="0"/>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签字：</w:t>
            </w:r>
          </w:p>
        </w:tc>
        <w:tc>
          <w:tcPr>
            <w:tcW w:w="716" w:type="pct"/>
            <w:tcBorders>
              <w:top w:val="nil"/>
              <w:left w:val="nil"/>
              <w:bottom w:val="single" w:color="000000" w:sz="4" w:space="0"/>
              <w:right w:val="nil"/>
            </w:tcBorders>
            <w:shd w:val="clear" w:color="auto" w:fill="auto"/>
            <w:noWrap/>
            <w:vAlign w:val="center"/>
          </w:tcPr>
          <w:p>
            <w:pPr>
              <w:rPr>
                <w:rFonts w:hint="eastAsia" w:ascii="宋体" w:hAnsi="宋体" w:eastAsia="宋体" w:cs="宋体"/>
                <w:i w:val="0"/>
                <w:iCs w:val="0"/>
                <w:color w:val="FFFFFF"/>
                <w:sz w:val="10"/>
                <w:szCs w:val="10"/>
                <w:u w:val="none"/>
              </w:rPr>
            </w:pPr>
          </w:p>
        </w:tc>
        <w:tc>
          <w:tcPr>
            <w:tcW w:w="861" w:type="pct"/>
            <w:tcBorders>
              <w:top w:val="nil"/>
              <w:left w:val="nil"/>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日期：</w:t>
            </w:r>
          </w:p>
        </w:tc>
        <w:tc>
          <w:tcPr>
            <w:tcW w:w="960" w:type="pct"/>
            <w:tcBorders>
              <w:top w:val="nil"/>
              <w:left w:val="nil"/>
              <w:bottom w:val="single" w:color="000000" w:sz="4" w:space="0"/>
              <w:right w:val="single" w:color="000000" w:sz="8"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165" w:type="pct"/>
            <w:vMerge w:val="continue"/>
            <w:tcBorders>
              <w:top w:val="single" w:color="000000" w:sz="4" w:space="0"/>
              <w:left w:val="single" w:color="000000" w:sz="8" w:space="0"/>
              <w:bottom w:val="single" w:color="000000" w:sz="8"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3834" w:type="pct"/>
            <w:gridSpan w:val="4"/>
            <w:tcBorders>
              <w:top w:val="single" w:color="000000" w:sz="4" w:space="0"/>
              <w:left w:val="single" w:color="000000" w:sz="4" w:space="0"/>
              <w:bottom w:val="nil"/>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3" w:hRule="atLeast"/>
        </w:trPr>
        <w:tc>
          <w:tcPr>
            <w:tcW w:w="1165" w:type="pct"/>
            <w:vMerge w:val="continue"/>
            <w:tcBorders>
              <w:top w:val="single" w:color="000000" w:sz="4" w:space="0"/>
              <w:left w:val="single" w:color="000000" w:sz="8" w:space="0"/>
              <w:bottom w:val="single" w:color="000000" w:sz="8"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95" w:type="pct"/>
            <w:tcBorders>
              <w:top w:val="nil"/>
              <w:left w:val="single" w:color="000000" w:sz="4" w:space="0"/>
              <w:bottom w:val="single" w:color="000000" w:sz="8"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签字：</w:t>
            </w:r>
          </w:p>
        </w:tc>
        <w:tc>
          <w:tcPr>
            <w:tcW w:w="716" w:type="pct"/>
            <w:tcBorders>
              <w:top w:val="nil"/>
              <w:left w:val="nil"/>
              <w:bottom w:val="single" w:color="000000" w:sz="8" w:space="0"/>
              <w:right w:val="nil"/>
            </w:tcBorders>
            <w:shd w:val="clear" w:color="auto" w:fill="auto"/>
            <w:noWrap/>
            <w:vAlign w:val="center"/>
          </w:tcPr>
          <w:p>
            <w:pPr>
              <w:rPr>
                <w:rFonts w:hint="eastAsia" w:ascii="宋体" w:hAnsi="宋体" w:eastAsia="宋体" w:cs="宋体"/>
                <w:i w:val="0"/>
                <w:iCs w:val="0"/>
                <w:color w:val="FFFFFF"/>
                <w:sz w:val="10"/>
                <w:szCs w:val="10"/>
                <w:u w:val="none"/>
              </w:rPr>
            </w:pPr>
          </w:p>
        </w:tc>
        <w:tc>
          <w:tcPr>
            <w:tcW w:w="861" w:type="pct"/>
            <w:tcBorders>
              <w:top w:val="nil"/>
              <w:left w:val="nil"/>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日期：</w:t>
            </w:r>
          </w:p>
        </w:tc>
        <w:tc>
          <w:tcPr>
            <w:tcW w:w="960" w:type="pct"/>
            <w:tcBorders>
              <w:top w:val="nil"/>
              <w:left w:val="nil"/>
              <w:bottom w:val="single" w:color="000000" w:sz="8" w:space="0"/>
              <w:right w:val="single" w:color="000000" w:sz="8"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5000" w:type="pct"/>
            <w:gridSpan w:val="5"/>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注：本表一式四份，各单位执一份。</w:t>
            </w:r>
          </w:p>
        </w:tc>
      </w:tr>
    </w:tbl>
    <w:p>
      <w:pPr>
        <w:spacing w:line="401" w:lineRule="auto"/>
        <w:rPr>
          <w:rFonts w:ascii="Arial"/>
          <w:sz w:val="21"/>
        </w:rPr>
      </w:pPr>
    </w:p>
    <w:p>
      <w:pPr>
        <w:spacing w:before="74" w:line="401" w:lineRule="auto"/>
        <w:ind w:right="96"/>
        <w:rPr>
          <w:rFonts w:hint="eastAsia" w:ascii="宋体" w:hAnsi="宋体" w:eastAsia="宋体" w:cs="宋体"/>
          <w:spacing w:val="14"/>
          <w:sz w:val="24"/>
          <w:szCs w:val="24"/>
          <w:lang w:eastAsia="zh-CN"/>
          <w14:textOutline w14:w="4358" w14:cap="sq" w14:cmpd="sng">
            <w14:solidFill>
              <w14:srgbClr w14:val="000000"/>
            </w14:solidFill>
            <w14:prstDash w14:val="solid"/>
            <w14:bevel/>
          </w14:textOutline>
        </w:rPr>
      </w:pPr>
      <w:r>
        <w:rPr>
          <w:rFonts w:hint="eastAsia" w:ascii="宋体" w:hAnsi="宋体" w:eastAsia="宋体" w:cs="宋体"/>
          <w:spacing w:val="14"/>
          <w:sz w:val="24"/>
          <w:szCs w:val="24"/>
          <w:lang w:eastAsia="zh-CN"/>
          <w14:textOutline w14:w="4358" w14:cap="sq" w14:cmpd="sng">
            <w14:solidFill>
              <w14:srgbClr w14:val="000000"/>
            </w14:solidFill>
            <w14:prstDash w14:val="solid"/>
            <w14:bevel/>
          </w14:textOutline>
        </w:rPr>
        <w:t>变更申请</w:t>
      </w:r>
    </w:p>
    <w:tbl>
      <w:tblPr>
        <w:tblStyle w:val="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43"/>
        <w:gridCol w:w="3345"/>
        <w:gridCol w:w="1945"/>
        <w:gridCol w:w="27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3" w:hRule="atLeast"/>
        </w:trPr>
        <w:tc>
          <w:tcPr>
            <w:tcW w:w="5000" w:type="pct"/>
            <w:gridSpan w:val="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snapToGrid w:val="0"/>
                <w:color w:val="000000"/>
                <w:kern w:val="0"/>
                <w:sz w:val="36"/>
                <w:szCs w:val="36"/>
                <w:u w:val="none"/>
                <w:lang w:val="en-US" w:eastAsia="zh-CN" w:bidi="ar"/>
              </w:rPr>
              <w:t>兰磨高速公路建设项目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8" w:hRule="atLeast"/>
        </w:trPr>
        <w:tc>
          <w:tcPr>
            <w:tcW w:w="5000" w:type="pct"/>
            <w:gridSpan w:val="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snapToGrid w:val="0"/>
                <w:color w:val="000000"/>
                <w:kern w:val="0"/>
                <w:sz w:val="32"/>
                <w:szCs w:val="32"/>
                <w:u w:val="none"/>
                <w:lang w:val="en-US" w:eastAsia="zh-CN" w:bidi="ar"/>
              </w:rPr>
              <w:t>工程变更申请/审批单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2659"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承包单位：慧众建设有限公司</w:t>
            </w:r>
          </w:p>
        </w:tc>
        <w:tc>
          <w:tcPr>
            <w:tcW w:w="978"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标    段：</w:t>
            </w:r>
          </w:p>
        </w:tc>
        <w:tc>
          <w:tcPr>
            <w:tcW w:w="1361"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A3合同段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2659"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监理单位：春乔交通工程监理咨询有限公司</w:t>
            </w:r>
          </w:p>
        </w:tc>
        <w:tc>
          <w:tcPr>
            <w:tcW w:w="978"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本表编号：</w:t>
            </w:r>
          </w:p>
        </w:tc>
        <w:tc>
          <w:tcPr>
            <w:tcW w:w="1361"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LM-BGSQ-A3-006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77" w:type="pct"/>
            <w:tcBorders>
              <w:top w:val="single" w:color="000000" w:sz="8"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工程名称</w:t>
            </w:r>
          </w:p>
        </w:tc>
        <w:tc>
          <w:tcPr>
            <w:tcW w:w="1681" w:type="pct"/>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snapToGrid w:val="0"/>
                <w:color w:val="000000"/>
                <w:kern w:val="0"/>
                <w:sz w:val="20"/>
                <w:szCs w:val="20"/>
                <w:u w:val="none"/>
                <w:lang w:val="en-US" w:eastAsia="zh-CN" w:bidi="ar"/>
              </w:rPr>
              <w:t>兰磨1#大桥左线0#台桩基桩长变更申请</w:t>
            </w:r>
          </w:p>
        </w:tc>
        <w:tc>
          <w:tcPr>
            <w:tcW w:w="978" w:type="pct"/>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提出工程变更单位</w:t>
            </w:r>
          </w:p>
        </w:tc>
        <w:tc>
          <w:tcPr>
            <w:tcW w:w="1361" w:type="pct"/>
            <w:tcBorders>
              <w:top w:val="single" w:color="000000" w:sz="8"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慧众建设有限公司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977"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桩    号</w:t>
            </w:r>
          </w:p>
        </w:tc>
        <w:tc>
          <w:tcPr>
            <w:tcW w:w="16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兰磨1#大桥左线0#台</w:t>
            </w:r>
          </w:p>
        </w:tc>
        <w:tc>
          <w:tcPr>
            <w:tcW w:w="978" w:type="pct"/>
            <w:tcBorders>
              <w:top w:val="single" w:color="000000" w:sz="8"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snapToGrid w:val="0"/>
                <w:color w:val="000000"/>
                <w:kern w:val="0"/>
                <w:sz w:val="20"/>
                <w:szCs w:val="20"/>
                <w:u w:val="none"/>
                <w:lang w:val="en-US" w:eastAsia="zh-CN"/>
              </w:rPr>
            </w:pPr>
            <w:r>
              <w:rPr>
                <w:rFonts w:hint="eastAsia" w:ascii="宋体" w:hAnsi="宋体" w:eastAsia="宋体" w:cs="宋体"/>
                <w:i w:val="0"/>
                <w:iCs w:val="0"/>
                <w:color w:val="000000"/>
                <w:sz w:val="20"/>
                <w:szCs w:val="20"/>
                <w:u w:val="none"/>
                <w:lang w:val="en-US" w:eastAsia="zh-CN"/>
              </w:rPr>
              <w:t>日期</w:t>
            </w:r>
          </w:p>
        </w:tc>
        <w:tc>
          <w:tcPr>
            <w:tcW w:w="1361" w:type="pct"/>
            <w:tcBorders>
              <w:top w:val="single" w:color="000000" w:sz="8" w:space="0"/>
              <w:left w:val="single" w:color="000000" w:sz="4" w:space="0"/>
              <w:bottom w:val="single" w:color="000000" w:sz="4" w:space="0"/>
              <w:right w:val="single" w:color="000000" w:sz="8" w:space="0"/>
            </w:tcBorders>
            <w:shd w:val="clear" w:color="auto" w:fill="auto"/>
            <w:vAlign w:val="center"/>
          </w:tcPr>
          <w:p>
            <w:pPr>
              <w:jc w:val="center"/>
              <w:rPr>
                <w:rFonts w:hint="eastAsia" w:ascii="宋体" w:hAnsi="宋体" w:eastAsia="宋体" w:cs="宋体"/>
                <w:i w:val="0"/>
                <w:iCs w:val="0"/>
                <w:snapToGrid w:val="0"/>
                <w:color w:val="000000"/>
                <w:kern w:val="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2021年4月3日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977" w:type="pct"/>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原设计图名称</w:t>
            </w:r>
          </w:p>
        </w:tc>
        <w:tc>
          <w:tcPr>
            <w:tcW w:w="1681" w:type="pct"/>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第四册第一分册</w:t>
            </w:r>
          </w:p>
        </w:tc>
        <w:tc>
          <w:tcPr>
            <w:tcW w:w="978"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原设计图号</w:t>
            </w:r>
          </w:p>
        </w:tc>
        <w:tc>
          <w:tcPr>
            <w:tcW w:w="1361" w:type="pct"/>
            <w:tcBorders>
              <w:top w:val="nil"/>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snapToGrid w:val="0"/>
                <w:color w:val="000000"/>
                <w:kern w:val="0"/>
                <w:sz w:val="20"/>
                <w:szCs w:val="20"/>
                <w:u w:val="none"/>
                <w:lang w:val="en-US" w:eastAsia="zh-CN" w:bidi="ar"/>
              </w:rPr>
              <w:t>S4-1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7"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变更设计图名称</w:t>
            </w:r>
          </w:p>
        </w:tc>
        <w:tc>
          <w:tcPr>
            <w:tcW w:w="16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设计更改通知单</w:t>
            </w:r>
          </w:p>
        </w:tc>
        <w:tc>
          <w:tcPr>
            <w:tcW w:w="9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变更设计图号</w:t>
            </w:r>
          </w:p>
        </w:tc>
        <w:tc>
          <w:tcPr>
            <w:tcW w:w="1361" w:type="pct"/>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LMGS-A3-006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977"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变更类别</w:t>
            </w:r>
          </w:p>
        </w:tc>
        <w:tc>
          <w:tcPr>
            <w:tcW w:w="16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(C）类设计变更</w:t>
            </w:r>
          </w:p>
        </w:tc>
        <w:tc>
          <w:tcPr>
            <w:tcW w:w="9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费用类别</w:t>
            </w:r>
          </w:p>
        </w:tc>
        <w:tc>
          <w:tcPr>
            <w:tcW w:w="1361" w:type="pct"/>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变更增减费用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977"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变更增减金额（元）</w:t>
            </w:r>
          </w:p>
        </w:tc>
        <w:tc>
          <w:tcPr>
            <w:tcW w:w="16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snapToGrid w:val="0"/>
                <w:color w:val="000000"/>
                <w:kern w:val="0"/>
                <w:sz w:val="20"/>
                <w:szCs w:val="20"/>
                <w:u w:val="none"/>
                <w:lang w:val="en-US" w:eastAsia="zh-CN" w:bidi="ar"/>
              </w:rPr>
              <w:t>-10911.24</w:t>
            </w:r>
          </w:p>
        </w:tc>
        <w:tc>
          <w:tcPr>
            <w:tcW w:w="9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估计延长工期（天）</w:t>
            </w:r>
          </w:p>
        </w:tc>
        <w:tc>
          <w:tcPr>
            <w:tcW w:w="1361" w:type="pct"/>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2" w:hRule="atLeast"/>
        </w:trPr>
        <w:tc>
          <w:tcPr>
            <w:tcW w:w="1945"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工程变更理由</w:t>
            </w:r>
          </w:p>
        </w:tc>
        <w:tc>
          <w:tcPr>
            <w:tcW w:w="4022" w:type="pct"/>
            <w:gridSpan w:val="3"/>
            <w:tcBorders>
              <w:top w:val="single" w:color="000000" w:sz="4" w:space="0"/>
              <w:left w:val="single" w:color="000000" w:sz="4" w:space="0"/>
              <w:bottom w:val="nil"/>
              <w:right w:val="single" w:color="000000" w:sz="8"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与原设计地勘不符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2" w:hRule="atLeast"/>
        </w:trPr>
        <w:tc>
          <w:tcPr>
            <w:tcW w:w="1945"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工程变更内容摘要</w:t>
            </w:r>
          </w:p>
        </w:tc>
        <w:tc>
          <w:tcPr>
            <w:tcW w:w="4022" w:type="pct"/>
            <w:gridSpan w:val="3"/>
            <w:tcBorders>
              <w:top w:val="single" w:color="000000" w:sz="4" w:space="0"/>
              <w:left w:val="single" w:color="000000" w:sz="4" w:space="0"/>
              <w:bottom w:val="nil"/>
              <w:right w:val="single" w:color="000000" w:sz="8"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根据变更申请要求，进行桩基桩长变更。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2" w:hRule="atLeast"/>
        </w:trPr>
        <w:tc>
          <w:tcPr>
            <w:tcW w:w="1945"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变更理由详情</w:t>
            </w:r>
          </w:p>
        </w:tc>
        <w:tc>
          <w:tcPr>
            <w:tcW w:w="4022" w:type="pct"/>
            <w:gridSpan w:val="3"/>
            <w:tcBorders>
              <w:top w:val="single" w:color="000000" w:sz="4" w:space="0"/>
              <w:left w:val="single" w:color="000000" w:sz="4" w:space="0"/>
              <w:bottom w:val="nil"/>
              <w:right w:val="single" w:color="000000" w:sz="8"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兰磨1#大桥左线0#台桩基原地勘报告为Ⅳ级弱稳定岩层，施工单位在施工过程中，发现与原地勘报告不符，实际勘测为Ⅲ级中等稳定岩层，岩石较硬，钻机无法钻至设计桩底高程，现申请进行桩长变更，减少左线0#台桩基（桩径1.2m）桩长4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2" w:hRule="atLeast"/>
        </w:trPr>
        <w:tc>
          <w:tcPr>
            <w:tcW w:w="1945" w:type="dxa"/>
            <w:tcBorders>
              <w:top w:val="single" w:color="000000" w:sz="4" w:space="0"/>
              <w:left w:val="single" w:color="000000" w:sz="8"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变更数量</w:t>
            </w:r>
          </w:p>
        </w:tc>
        <w:tc>
          <w:tcPr>
            <w:tcW w:w="4022" w:type="pct"/>
            <w:gridSpan w:val="3"/>
            <w:tcBorders>
              <w:top w:val="single" w:color="000000" w:sz="4" w:space="0"/>
              <w:left w:val="single" w:color="000000" w:sz="4" w:space="0"/>
              <w:bottom w:val="single" w:color="auto" w:sz="4" w:space="0"/>
              <w:right w:val="single" w:color="000000" w:sz="8" w:space="0"/>
            </w:tcBorders>
            <w:shd w:val="clear" w:color="auto" w:fill="auto"/>
            <w:vAlign w:val="top"/>
          </w:tcPr>
          <w:p>
            <w:pPr>
              <w:keepNext w:val="0"/>
              <w:keepLines w:val="0"/>
              <w:widowControl/>
              <w:numPr>
                <w:ilvl w:val="0"/>
                <w:numId w:val="0"/>
              </w:numPr>
              <w:suppressLineNumbers w:val="0"/>
              <w:jc w:val="left"/>
              <w:textAlignment w:val="top"/>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1、减少基础光圆钢筋158kg</w:t>
            </w:r>
          </w:p>
          <w:p>
            <w:pPr>
              <w:keepNext w:val="0"/>
              <w:keepLines w:val="0"/>
              <w:widowControl/>
              <w:numPr>
                <w:ilvl w:val="0"/>
                <w:numId w:val="0"/>
              </w:numPr>
              <w:suppressLineNumbers w:val="0"/>
              <w:jc w:val="left"/>
              <w:textAlignment w:val="top"/>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2、减少基础带肋钢筋436kg</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3、减少桩长6m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5" w:hRule="atLeast"/>
        </w:trPr>
        <w:tc>
          <w:tcPr>
            <w:tcW w:w="19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变更单价</w:t>
            </w:r>
          </w:p>
        </w:tc>
        <w:tc>
          <w:tcPr>
            <w:tcW w:w="4022" w:type="pct"/>
            <w:gridSpan w:val="3"/>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工程量变更增加幅度超过15%，调价系数为0.9，超过15%的部分按照变更后单价结算；工程量变更减少幅度超过15%，调价系数为1.1，全部按照变更后单价进行结算。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trPr>
        <w:tc>
          <w:tcPr>
            <w:tcW w:w="977" w:type="pct"/>
            <w:tcBorders>
              <w:top w:val="single" w:color="auto" w:sz="4" w:space="0"/>
              <w:left w:val="single" w:color="000000" w:sz="8" w:space="0"/>
              <w:bottom w:val="nil"/>
              <w:right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承包人：</w:t>
            </w:r>
          </w:p>
        </w:tc>
        <w:tc>
          <w:tcPr>
            <w:tcW w:w="4022" w:type="pct"/>
            <w:gridSpan w:val="3"/>
            <w:tcBorders>
              <w:top w:val="single" w:color="auto" w:sz="4" w:space="0"/>
              <w:left w:val="nil"/>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上报变更费用申请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977" w:type="pct"/>
            <w:tcBorders>
              <w:top w:val="nil"/>
              <w:left w:val="single" w:color="000000" w:sz="8" w:space="0"/>
              <w:bottom w:val="single" w:color="000000" w:sz="4" w:space="0"/>
              <w:right w:val="nil"/>
            </w:tcBorders>
            <w:shd w:val="clear" w:color="auto" w:fill="auto"/>
            <w:vAlign w:val="center"/>
          </w:tcPr>
          <w:p>
            <w:pPr>
              <w:rPr>
                <w:rFonts w:hint="eastAsia" w:ascii="宋体" w:hAnsi="宋体" w:eastAsia="宋体" w:cs="宋体"/>
                <w:i w:val="0"/>
                <w:iCs w:val="0"/>
                <w:color w:val="000000"/>
                <w:sz w:val="20"/>
                <w:szCs w:val="20"/>
                <w:u w:val="none"/>
              </w:rPr>
            </w:pPr>
          </w:p>
        </w:tc>
        <w:tc>
          <w:tcPr>
            <w:tcW w:w="1681" w:type="pct"/>
            <w:tcBorders>
              <w:top w:val="nil"/>
              <w:left w:val="nil"/>
              <w:bottom w:val="single" w:color="000000" w:sz="4" w:space="0"/>
              <w:right w:val="nil"/>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签字人：</w:t>
            </w:r>
          </w:p>
        </w:tc>
        <w:tc>
          <w:tcPr>
            <w:tcW w:w="978" w:type="pct"/>
            <w:tcBorders>
              <w:top w:val="nil"/>
              <w:left w:val="nil"/>
              <w:bottom w:val="single" w:color="000000" w:sz="4" w:space="0"/>
              <w:right w:val="nil"/>
            </w:tcBorders>
            <w:shd w:val="clear" w:color="auto" w:fill="auto"/>
            <w:vAlign w:val="center"/>
          </w:tcPr>
          <w:p>
            <w:pPr>
              <w:rPr>
                <w:rFonts w:hint="eastAsia" w:ascii="宋体" w:hAnsi="宋体" w:eastAsia="宋体" w:cs="宋体"/>
                <w:i w:val="0"/>
                <w:iCs w:val="0"/>
                <w:color w:val="FFFFFF"/>
                <w:sz w:val="20"/>
                <w:szCs w:val="20"/>
                <w:u w:val="none"/>
              </w:rPr>
            </w:pPr>
          </w:p>
        </w:tc>
        <w:tc>
          <w:tcPr>
            <w:tcW w:w="1361" w:type="pct"/>
            <w:tcBorders>
              <w:top w:val="nil"/>
              <w:left w:val="nil"/>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日期：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977" w:type="pct"/>
            <w:tcBorders>
              <w:top w:val="single" w:color="000000" w:sz="4" w:space="0"/>
              <w:left w:val="single" w:color="000000" w:sz="8" w:space="0"/>
              <w:bottom w:val="nil"/>
              <w:right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监理单位：</w:t>
            </w:r>
          </w:p>
        </w:tc>
        <w:tc>
          <w:tcPr>
            <w:tcW w:w="4022" w:type="pct"/>
            <w:gridSpan w:val="3"/>
            <w:tcBorders>
              <w:top w:val="single" w:color="000000" w:sz="4" w:space="0"/>
              <w:left w:val="nil"/>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同意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5" w:hRule="atLeast"/>
        </w:trPr>
        <w:tc>
          <w:tcPr>
            <w:tcW w:w="977" w:type="pct"/>
            <w:tcBorders>
              <w:top w:val="nil"/>
              <w:left w:val="single" w:color="000000" w:sz="8" w:space="0"/>
              <w:bottom w:val="single" w:color="000000" w:sz="4" w:space="0"/>
              <w:right w:val="nil"/>
            </w:tcBorders>
            <w:shd w:val="clear" w:color="auto" w:fill="auto"/>
            <w:vAlign w:val="center"/>
          </w:tcPr>
          <w:p>
            <w:pPr>
              <w:rPr>
                <w:rFonts w:hint="eastAsia" w:ascii="宋体" w:hAnsi="宋体" w:eastAsia="宋体" w:cs="宋体"/>
                <w:i w:val="0"/>
                <w:iCs w:val="0"/>
                <w:color w:val="000000"/>
                <w:sz w:val="20"/>
                <w:szCs w:val="20"/>
                <w:u w:val="none"/>
              </w:rPr>
            </w:pPr>
          </w:p>
        </w:tc>
        <w:tc>
          <w:tcPr>
            <w:tcW w:w="1681" w:type="pct"/>
            <w:tcBorders>
              <w:top w:val="nil"/>
              <w:left w:val="nil"/>
              <w:bottom w:val="nil"/>
              <w:right w:val="nil"/>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签字人：</w:t>
            </w:r>
          </w:p>
        </w:tc>
        <w:tc>
          <w:tcPr>
            <w:tcW w:w="978" w:type="pct"/>
            <w:tcBorders>
              <w:top w:val="nil"/>
              <w:left w:val="nil"/>
              <w:bottom w:val="single" w:color="000000" w:sz="4" w:space="0"/>
              <w:right w:val="nil"/>
            </w:tcBorders>
            <w:shd w:val="clear" w:color="auto" w:fill="auto"/>
            <w:vAlign w:val="center"/>
          </w:tcPr>
          <w:p>
            <w:pPr>
              <w:rPr>
                <w:rFonts w:hint="eastAsia" w:ascii="宋体" w:hAnsi="宋体" w:eastAsia="宋体" w:cs="宋体"/>
                <w:i w:val="0"/>
                <w:iCs w:val="0"/>
                <w:color w:val="FFFFFF"/>
                <w:sz w:val="20"/>
                <w:szCs w:val="20"/>
                <w:u w:val="none"/>
              </w:rPr>
            </w:pPr>
          </w:p>
        </w:tc>
        <w:tc>
          <w:tcPr>
            <w:tcW w:w="1361" w:type="pct"/>
            <w:tcBorders>
              <w:top w:val="nil"/>
              <w:left w:val="nil"/>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日期：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977" w:type="pct"/>
            <w:tcBorders>
              <w:top w:val="single" w:color="000000" w:sz="4" w:space="0"/>
              <w:left w:val="single" w:color="000000" w:sz="8" w:space="0"/>
              <w:bottom w:val="nil"/>
              <w:right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设计单位：</w:t>
            </w:r>
          </w:p>
        </w:tc>
        <w:tc>
          <w:tcPr>
            <w:tcW w:w="4022" w:type="pct"/>
            <w:gridSpan w:val="3"/>
            <w:tcBorders>
              <w:top w:val="single" w:color="000000" w:sz="4" w:space="0"/>
              <w:left w:val="nil"/>
              <w:bottom w:val="nil"/>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同意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7" w:type="pct"/>
            <w:tcBorders>
              <w:top w:val="nil"/>
              <w:left w:val="single" w:color="000000" w:sz="8" w:space="0"/>
              <w:bottom w:val="single" w:color="000000" w:sz="4" w:space="0"/>
              <w:right w:val="nil"/>
            </w:tcBorders>
            <w:shd w:val="clear" w:color="auto" w:fill="auto"/>
            <w:vAlign w:val="center"/>
          </w:tcPr>
          <w:p>
            <w:pPr>
              <w:rPr>
                <w:rFonts w:hint="eastAsia" w:ascii="宋体" w:hAnsi="宋体" w:eastAsia="宋体" w:cs="宋体"/>
                <w:i w:val="0"/>
                <w:iCs w:val="0"/>
                <w:color w:val="000000"/>
                <w:sz w:val="20"/>
                <w:szCs w:val="20"/>
                <w:u w:val="none"/>
              </w:rPr>
            </w:pPr>
          </w:p>
        </w:tc>
        <w:tc>
          <w:tcPr>
            <w:tcW w:w="1681" w:type="pct"/>
            <w:tcBorders>
              <w:top w:val="nil"/>
              <w:left w:val="nil"/>
              <w:bottom w:val="single" w:color="000000" w:sz="4" w:space="0"/>
              <w:right w:val="nil"/>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签字人：</w:t>
            </w:r>
          </w:p>
        </w:tc>
        <w:tc>
          <w:tcPr>
            <w:tcW w:w="978" w:type="pct"/>
            <w:tcBorders>
              <w:top w:val="nil"/>
              <w:left w:val="nil"/>
              <w:bottom w:val="single" w:color="000000" w:sz="4" w:space="0"/>
              <w:right w:val="nil"/>
            </w:tcBorders>
            <w:shd w:val="clear" w:color="auto" w:fill="auto"/>
            <w:vAlign w:val="center"/>
          </w:tcPr>
          <w:p>
            <w:pPr>
              <w:rPr>
                <w:rFonts w:hint="eastAsia" w:ascii="宋体" w:hAnsi="宋体" w:eastAsia="宋体" w:cs="宋体"/>
                <w:i w:val="0"/>
                <w:iCs w:val="0"/>
                <w:color w:val="FFFFFF"/>
                <w:sz w:val="20"/>
                <w:szCs w:val="20"/>
                <w:u w:val="none"/>
              </w:rPr>
            </w:pPr>
          </w:p>
        </w:tc>
        <w:tc>
          <w:tcPr>
            <w:tcW w:w="1361" w:type="pct"/>
            <w:tcBorders>
              <w:top w:val="nil"/>
              <w:left w:val="nil"/>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日期：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977" w:type="pct"/>
            <w:tcBorders>
              <w:top w:val="single" w:color="000000" w:sz="4" w:space="0"/>
              <w:left w:val="single" w:color="000000" w:sz="8" w:space="0"/>
              <w:bottom w:val="nil"/>
              <w:right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项目办工程处：</w:t>
            </w:r>
          </w:p>
        </w:tc>
        <w:tc>
          <w:tcPr>
            <w:tcW w:w="4022" w:type="pct"/>
            <w:gridSpan w:val="3"/>
            <w:tcBorders>
              <w:top w:val="single" w:color="000000" w:sz="4" w:space="0"/>
              <w:left w:val="nil"/>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同意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977" w:type="pct"/>
            <w:tcBorders>
              <w:top w:val="nil"/>
              <w:left w:val="single" w:color="000000" w:sz="8" w:space="0"/>
              <w:bottom w:val="single" w:color="000000" w:sz="4" w:space="0"/>
              <w:right w:val="nil"/>
            </w:tcBorders>
            <w:shd w:val="clear" w:color="auto" w:fill="auto"/>
            <w:vAlign w:val="center"/>
          </w:tcPr>
          <w:p>
            <w:pPr>
              <w:rPr>
                <w:rFonts w:hint="eastAsia" w:ascii="宋体" w:hAnsi="宋体" w:eastAsia="宋体" w:cs="宋体"/>
                <w:i w:val="0"/>
                <w:iCs w:val="0"/>
                <w:color w:val="000000"/>
                <w:sz w:val="20"/>
                <w:szCs w:val="20"/>
                <w:u w:val="none"/>
              </w:rPr>
            </w:pPr>
          </w:p>
        </w:tc>
        <w:tc>
          <w:tcPr>
            <w:tcW w:w="1681" w:type="pct"/>
            <w:tcBorders>
              <w:top w:val="nil"/>
              <w:left w:val="nil"/>
              <w:bottom w:val="nil"/>
              <w:right w:val="nil"/>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签字人：</w:t>
            </w:r>
          </w:p>
        </w:tc>
        <w:tc>
          <w:tcPr>
            <w:tcW w:w="978" w:type="pct"/>
            <w:tcBorders>
              <w:top w:val="nil"/>
              <w:left w:val="nil"/>
              <w:bottom w:val="single" w:color="000000" w:sz="4" w:space="0"/>
              <w:right w:val="nil"/>
            </w:tcBorders>
            <w:shd w:val="clear" w:color="auto" w:fill="auto"/>
            <w:vAlign w:val="center"/>
          </w:tcPr>
          <w:p>
            <w:pPr>
              <w:rPr>
                <w:rFonts w:hint="eastAsia" w:ascii="宋体" w:hAnsi="宋体" w:eastAsia="宋体" w:cs="宋体"/>
                <w:i w:val="0"/>
                <w:iCs w:val="0"/>
                <w:color w:val="FFFFFF"/>
                <w:sz w:val="20"/>
                <w:szCs w:val="20"/>
                <w:u w:val="none"/>
              </w:rPr>
            </w:pPr>
          </w:p>
        </w:tc>
        <w:tc>
          <w:tcPr>
            <w:tcW w:w="1361" w:type="pct"/>
            <w:tcBorders>
              <w:top w:val="nil"/>
              <w:left w:val="nil"/>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日期：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1" w:hRule="atLeast"/>
        </w:trPr>
        <w:tc>
          <w:tcPr>
            <w:tcW w:w="977" w:type="pct"/>
            <w:tcBorders>
              <w:top w:val="single" w:color="000000" w:sz="4" w:space="0"/>
              <w:left w:val="single" w:color="000000" w:sz="8" w:space="0"/>
              <w:bottom w:val="nil"/>
              <w:right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项目办领导：</w:t>
            </w:r>
          </w:p>
        </w:tc>
        <w:tc>
          <w:tcPr>
            <w:tcW w:w="4022" w:type="pct"/>
            <w:gridSpan w:val="3"/>
            <w:tcBorders>
              <w:top w:val="single" w:color="000000" w:sz="4" w:space="0"/>
              <w:left w:val="nil"/>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同意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5" w:hRule="atLeast"/>
        </w:trPr>
        <w:tc>
          <w:tcPr>
            <w:tcW w:w="977" w:type="pct"/>
            <w:tcBorders>
              <w:top w:val="nil"/>
              <w:left w:val="single" w:color="000000" w:sz="8" w:space="0"/>
              <w:bottom w:val="single" w:color="000000" w:sz="8" w:space="0"/>
              <w:right w:val="nil"/>
            </w:tcBorders>
            <w:shd w:val="clear" w:color="auto" w:fill="auto"/>
            <w:vAlign w:val="center"/>
          </w:tcPr>
          <w:p>
            <w:pPr>
              <w:rPr>
                <w:rFonts w:hint="eastAsia" w:ascii="宋体" w:hAnsi="宋体" w:eastAsia="宋体" w:cs="宋体"/>
                <w:i w:val="0"/>
                <w:iCs w:val="0"/>
                <w:color w:val="000000"/>
                <w:sz w:val="20"/>
                <w:szCs w:val="20"/>
                <w:u w:val="none"/>
              </w:rPr>
            </w:pPr>
          </w:p>
        </w:tc>
        <w:tc>
          <w:tcPr>
            <w:tcW w:w="1681" w:type="pct"/>
            <w:tcBorders>
              <w:top w:val="nil"/>
              <w:left w:val="nil"/>
              <w:bottom w:val="single" w:color="000000" w:sz="8" w:space="0"/>
              <w:right w:val="nil"/>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签字人：</w:t>
            </w:r>
          </w:p>
        </w:tc>
        <w:tc>
          <w:tcPr>
            <w:tcW w:w="978" w:type="pct"/>
            <w:tcBorders>
              <w:top w:val="nil"/>
              <w:left w:val="nil"/>
              <w:bottom w:val="single" w:color="000000" w:sz="8" w:space="0"/>
              <w:right w:val="nil"/>
            </w:tcBorders>
            <w:shd w:val="clear" w:color="auto" w:fill="auto"/>
            <w:vAlign w:val="center"/>
          </w:tcPr>
          <w:p>
            <w:pPr>
              <w:rPr>
                <w:rFonts w:hint="eastAsia" w:ascii="宋体" w:hAnsi="宋体" w:eastAsia="宋体" w:cs="宋体"/>
                <w:i w:val="0"/>
                <w:iCs w:val="0"/>
                <w:color w:val="FFFFFF"/>
                <w:sz w:val="20"/>
                <w:szCs w:val="20"/>
                <w:u w:val="none"/>
              </w:rPr>
            </w:pPr>
          </w:p>
        </w:tc>
        <w:tc>
          <w:tcPr>
            <w:tcW w:w="1361"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日期：</w:t>
            </w:r>
          </w:p>
        </w:tc>
      </w:tr>
    </w:tbl>
    <w:p>
      <w:pPr>
        <w:spacing w:line="399" w:lineRule="auto"/>
        <w:rPr>
          <w:rFonts w:ascii="Arial"/>
          <w:sz w:val="21"/>
        </w:rPr>
      </w:pPr>
    </w:p>
    <w:p>
      <w:pPr>
        <w:spacing w:before="75" w:line="398" w:lineRule="auto"/>
        <w:ind w:left="3" w:right="99" w:hanging="3"/>
        <w:rPr>
          <w:rFonts w:ascii="宋体" w:hAnsi="宋体" w:eastAsia="宋体" w:cs="宋体"/>
          <w:spacing w:val="7"/>
          <w:sz w:val="23"/>
          <w:szCs w:val="23"/>
        </w:rPr>
      </w:pPr>
      <w:r>
        <w:rPr>
          <w:rFonts w:hint="eastAsia" w:ascii="宋体" w:hAnsi="宋体" w:eastAsia="宋体" w:cs="宋体"/>
          <w:spacing w:val="14"/>
          <w:sz w:val="24"/>
          <w:szCs w:val="24"/>
          <w:lang w:eastAsia="zh-CN"/>
          <w14:textOutline w14:w="4358" w14:cap="sq" w14:cmpd="sng">
            <w14:solidFill>
              <w14:srgbClr w14:val="000000"/>
            </w14:solidFill>
            <w14:prstDash w14:val="solid"/>
            <w14:bevel/>
          </w14:textOutline>
        </w:rPr>
        <w:t>变更令</w:t>
      </w:r>
    </w:p>
    <w:tbl>
      <w:tblPr>
        <w:tblStyle w:val="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43"/>
        <w:gridCol w:w="2808"/>
        <w:gridCol w:w="1993"/>
        <w:gridCol w:w="1098"/>
        <w:gridCol w:w="1098"/>
        <w:gridCol w:w="14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5000" w:type="pct"/>
            <w:gridSpan w:val="6"/>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snapToGrid w:val="0"/>
                <w:color w:val="000000"/>
                <w:kern w:val="0"/>
                <w:sz w:val="36"/>
                <w:szCs w:val="36"/>
                <w:u w:val="none"/>
                <w:lang w:val="en-US" w:eastAsia="zh-CN" w:bidi="ar"/>
              </w:rPr>
              <w:t>兰磨高速公路建设项目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000" w:type="pct"/>
            <w:gridSpan w:val="6"/>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snapToGrid w:val="0"/>
                <w:color w:val="000000"/>
                <w:kern w:val="0"/>
                <w:sz w:val="32"/>
                <w:szCs w:val="32"/>
                <w:u w:val="none"/>
                <w:lang w:val="en-US" w:eastAsia="zh-CN" w:bidi="ar"/>
              </w:rPr>
              <w:t>工程变更令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3190" w:type="pct"/>
            <w:gridSpan w:val="3"/>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承包单位：慧众建设有限公司</w:t>
            </w:r>
          </w:p>
        </w:tc>
        <w:tc>
          <w:tcPr>
            <w:tcW w:w="1809" w:type="pct"/>
            <w:gridSpan w:val="3"/>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合 同 段：A3标段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3190" w:type="pct"/>
            <w:gridSpan w:val="3"/>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监理单位：春乔交通工程监理咨询有限公司</w:t>
            </w:r>
          </w:p>
        </w:tc>
        <w:tc>
          <w:tcPr>
            <w:tcW w:w="1809" w:type="pct"/>
            <w:gridSpan w:val="3"/>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变更令号：LM-BGL-A3-006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76" w:type="pct"/>
            <w:tcBorders>
              <w:top w:val="single" w:color="000000" w:sz="8"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工程名称</w:t>
            </w:r>
          </w:p>
        </w:tc>
        <w:tc>
          <w:tcPr>
            <w:tcW w:w="1412" w:type="pct"/>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snapToGrid w:val="0"/>
                <w:color w:val="000000"/>
                <w:kern w:val="0"/>
                <w:sz w:val="20"/>
                <w:szCs w:val="20"/>
                <w:u w:val="none"/>
                <w:lang w:val="en-US" w:eastAsia="zh-CN" w:bidi="ar"/>
              </w:rPr>
              <w:t>兰磨1#大桥左线0#台桩基桩长变更令</w:t>
            </w:r>
          </w:p>
        </w:tc>
        <w:tc>
          <w:tcPr>
            <w:tcW w:w="1001" w:type="pct"/>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日期</w:t>
            </w:r>
          </w:p>
        </w:tc>
        <w:tc>
          <w:tcPr>
            <w:tcW w:w="1809" w:type="pct"/>
            <w:gridSpan w:val="3"/>
            <w:tcBorders>
              <w:top w:val="single" w:color="000000" w:sz="8"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2021年4月5日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76"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桩号</w:t>
            </w:r>
          </w:p>
        </w:tc>
        <w:tc>
          <w:tcPr>
            <w:tcW w:w="1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兰磨1#大桥左线0#台</w:t>
            </w:r>
          </w:p>
        </w:tc>
        <w:tc>
          <w:tcPr>
            <w:tcW w:w="1001" w:type="pct"/>
            <w:tcBorders>
              <w:top w:val="single" w:color="000000" w:sz="8"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变更所属计量周期</w:t>
            </w:r>
          </w:p>
        </w:tc>
        <w:tc>
          <w:tcPr>
            <w:tcW w:w="1809" w:type="pct"/>
            <w:gridSpan w:val="3"/>
            <w:tcBorders>
              <w:top w:val="single" w:color="000000" w:sz="8" w:space="0"/>
              <w:left w:val="single" w:color="000000" w:sz="4" w:space="0"/>
              <w:bottom w:val="single" w:color="000000" w:sz="4"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第2周期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76"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原设计图名称</w:t>
            </w:r>
          </w:p>
        </w:tc>
        <w:tc>
          <w:tcPr>
            <w:tcW w:w="14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18"/>
                <w:szCs w:val="18"/>
                <w:u w:val="none"/>
                <w:lang w:eastAsia="zh-CN"/>
              </w:rPr>
              <w:t>第四册第一分册</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18"/>
                <w:szCs w:val="18"/>
                <w:u w:val="none"/>
                <w:lang w:val="en-US" w:eastAsia="zh-CN" w:bidi="ar"/>
              </w:rPr>
              <w:t>原设计图号</w:t>
            </w:r>
          </w:p>
        </w:tc>
        <w:tc>
          <w:tcPr>
            <w:tcW w:w="1809" w:type="pct"/>
            <w:gridSpan w:val="3"/>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snapToGrid w:val="0"/>
                <w:color w:val="000000"/>
                <w:kern w:val="0"/>
                <w:sz w:val="18"/>
                <w:szCs w:val="18"/>
                <w:u w:val="none"/>
                <w:lang w:val="en-US" w:eastAsia="zh-CN" w:bidi="ar"/>
              </w:rPr>
              <w:t>S4-1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76"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变更设计图名称</w:t>
            </w:r>
          </w:p>
        </w:tc>
        <w:tc>
          <w:tcPr>
            <w:tcW w:w="1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设计更改通知单</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变更设计图号</w:t>
            </w:r>
          </w:p>
        </w:tc>
        <w:tc>
          <w:tcPr>
            <w:tcW w:w="1809" w:type="pct"/>
            <w:gridSpan w:val="3"/>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LMGS-A3-006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76"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变更类别</w:t>
            </w:r>
          </w:p>
        </w:tc>
        <w:tc>
          <w:tcPr>
            <w:tcW w:w="1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(C）类设计变更</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变更性质</w:t>
            </w:r>
          </w:p>
        </w:tc>
        <w:tc>
          <w:tcPr>
            <w:tcW w:w="1809" w:type="pct"/>
            <w:gridSpan w:val="3"/>
            <w:tcBorders>
              <w:top w:val="single" w:color="000000" w:sz="4" w:space="0"/>
              <w:left w:val="single" w:color="000000" w:sz="4" w:space="0"/>
              <w:bottom w:val="single" w:color="000000" w:sz="4"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一般变更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76"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工程造价增减额（元）</w:t>
            </w:r>
          </w:p>
        </w:tc>
        <w:tc>
          <w:tcPr>
            <w:tcW w:w="1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-10911.24</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估计延长工期</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（天）</w:t>
            </w:r>
          </w:p>
        </w:tc>
        <w:tc>
          <w:tcPr>
            <w:tcW w:w="1809" w:type="pct"/>
            <w:gridSpan w:val="3"/>
            <w:tcBorders>
              <w:top w:val="single" w:color="000000" w:sz="4" w:space="0"/>
              <w:left w:val="single" w:color="000000" w:sz="4" w:space="0"/>
              <w:bottom w:val="single" w:color="000000" w:sz="4"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76" w:type="pct"/>
            <w:vMerge w:val="restart"/>
            <w:tcBorders>
              <w:top w:val="single" w:color="000000" w:sz="4" w:space="0"/>
              <w:left w:val="single" w:color="000000" w:sz="8"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变更内容摘要</w:t>
            </w:r>
          </w:p>
        </w:tc>
        <w:tc>
          <w:tcPr>
            <w:tcW w:w="4223" w:type="pct"/>
            <w:gridSpan w:val="5"/>
            <w:vMerge w:val="restart"/>
            <w:tcBorders>
              <w:top w:val="single" w:color="000000" w:sz="4" w:space="0"/>
              <w:left w:val="single" w:color="000000" w:sz="4" w:space="0"/>
              <w:bottom w:val="single" w:color="000000" w:sz="4" w:space="0"/>
              <w:right w:val="single" w:color="000000" w:sz="8"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兰磨1#大桥左线0#台桩基原地勘报告为Ⅳ级弱稳定岩层，施工单位在施工过程中，发现与原地勘报告不符，实际勘测为Ⅲ级中等稳定岩层，岩石较硬，钻机无法钻至设计桩底高程，现申请进行桩长变更，减少左线0#台桩基（桩径1.2m）桩长6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76" w:type="pct"/>
            <w:vMerge w:val="continue"/>
            <w:tcBorders>
              <w:top w:val="single" w:color="000000" w:sz="4" w:space="0"/>
              <w:left w:val="single" w:color="000000" w:sz="8"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223" w:type="pct"/>
            <w:gridSpan w:val="5"/>
            <w:vMerge w:val="continue"/>
            <w:tcBorders>
              <w:top w:val="single" w:color="000000" w:sz="4" w:space="0"/>
              <w:left w:val="single" w:color="000000" w:sz="4" w:space="0"/>
              <w:bottom w:val="single" w:color="000000" w:sz="4" w:space="0"/>
              <w:right w:val="single" w:color="000000" w:sz="8" w:space="0"/>
            </w:tcBorders>
            <w:shd w:val="clear" w:color="auto" w:fill="auto"/>
            <w:vAlign w:val="top"/>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76" w:type="pct"/>
            <w:vMerge w:val="continue"/>
            <w:tcBorders>
              <w:top w:val="single" w:color="000000" w:sz="4" w:space="0"/>
              <w:left w:val="single" w:color="000000" w:sz="8"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223" w:type="pct"/>
            <w:gridSpan w:val="5"/>
            <w:vMerge w:val="continue"/>
            <w:tcBorders>
              <w:top w:val="single" w:color="000000" w:sz="4" w:space="0"/>
              <w:left w:val="single" w:color="000000" w:sz="4" w:space="0"/>
              <w:bottom w:val="single" w:color="000000" w:sz="4" w:space="0"/>
              <w:right w:val="single" w:color="000000" w:sz="8" w:space="0"/>
            </w:tcBorders>
            <w:shd w:val="clear" w:color="auto" w:fill="auto"/>
            <w:vAlign w:val="top"/>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76" w:type="pct"/>
            <w:vMerge w:val="continue"/>
            <w:tcBorders>
              <w:top w:val="single" w:color="000000" w:sz="4" w:space="0"/>
              <w:left w:val="single" w:color="000000" w:sz="8"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223" w:type="pct"/>
            <w:gridSpan w:val="5"/>
            <w:vMerge w:val="continue"/>
            <w:tcBorders>
              <w:top w:val="single" w:color="000000" w:sz="4" w:space="0"/>
              <w:left w:val="single" w:color="000000" w:sz="4" w:space="0"/>
              <w:bottom w:val="single" w:color="000000" w:sz="4" w:space="0"/>
              <w:right w:val="single" w:color="000000" w:sz="8" w:space="0"/>
            </w:tcBorders>
            <w:shd w:val="clear" w:color="auto" w:fill="auto"/>
            <w:vAlign w:val="top"/>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76" w:type="pct"/>
            <w:vMerge w:val="continue"/>
            <w:tcBorders>
              <w:top w:val="single" w:color="000000" w:sz="4" w:space="0"/>
              <w:left w:val="single" w:color="000000" w:sz="8"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223" w:type="pct"/>
            <w:gridSpan w:val="5"/>
            <w:vMerge w:val="continue"/>
            <w:tcBorders>
              <w:top w:val="single" w:color="000000" w:sz="4" w:space="0"/>
              <w:left w:val="single" w:color="000000" w:sz="4" w:space="0"/>
              <w:bottom w:val="single" w:color="000000" w:sz="4" w:space="0"/>
              <w:right w:val="single" w:color="000000" w:sz="8" w:space="0"/>
            </w:tcBorders>
            <w:shd w:val="clear" w:color="auto" w:fill="auto"/>
            <w:vAlign w:val="top"/>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776" w:type="pct"/>
            <w:vMerge w:val="continue"/>
            <w:tcBorders>
              <w:top w:val="single" w:color="000000" w:sz="4" w:space="0"/>
              <w:left w:val="single" w:color="000000" w:sz="8"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223" w:type="pct"/>
            <w:gridSpan w:val="5"/>
            <w:vMerge w:val="continue"/>
            <w:tcBorders>
              <w:top w:val="single" w:color="000000" w:sz="4" w:space="0"/>
              <w:left w:val="single" w:color="000000" w:sz="4" w:space="0"/>
              <w:bottom w:val="single" w:color="000000" w:sz="4" w:space="0"/>
              <w:right w:val="single" w:color="000000" w:sz="8" w:space="0"/>
            </w:tcBorders>
            <w:shd w:val="clear" w:color="auto" w:fill="auto"/>
            <w:vAlign w:val="top"/>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76" w:type="pct"/>
            <w:vMerge w:val="continue"/>
            <w:tcBorders>
              <w:top w:val="single" w:color="000000" w:sz="4" w:space="0"/>
              <w:left w:val="single" w:color="000000" w:sz="8"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223" w:type="pct"/>
            <w:gridSpan w:val="5"/>
            <w:vMerge w:val="continue"/>
            <w:tcBorders>
              <w:top w:val="nil"/>
              <w:left w:val="single" w:color="000000" w:sz="4" w:space="0"/>
              <w:bottom w:val="single" w:color="000000" w:sz="4" w:space="0"/>
              <w:right w:val="single" w:color="000000" w:sz="8" w:space="0"/>
            </w:tcBorders>
            <w:shd w:val="clear" w:color="auto" w:fill="auto"/>
            <w:vAlign w:val="top"/>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76" w:type="pct"/>
            <w:vMerge w:val="continue"/>
            <w:tcBorders>
              <w:top w:val="single" w:color="000000" w:sz="4" w:space="0"/>
              <w:left w:val="single" w:color="000000" w:sz="8"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223" w:type="pct"/>
            <w:gridSpan w:val="5"/>
            <w:vMerge w:val="continue"/>
            <w:tcBorders>
              <w:top w:val="nil"/>
              <w:left w:val="single" w:color="000000" w:sz="4" w:space="0"/>
              <w:bottom w:val="single" w:color="000000" w:sz="4" w:space="0"/>
              <w:right w:val="single" w:color="000000" w:sz="8" w:space="0"/>
            </w:tcBorders>
            <w:shd w:val="clear" w:color="auto" w:fill="auto"/>
            <w:vAlign w:val="top"/>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40" w:hRule="atLeast"/>
        </w:trPr>
        <w:tc>
          <w:tcPr>
            <w:tcW w:w="776" w:type="pct"/>
            <w:vMerge w:val="continue"/>
            <w:tcBorders>
              <w:top w:val="single" w:color="000000" w:sz="4" w:space="0"/>
              <w:left w:val="single" w:color="000000" w:sz="8"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223" w:type="pct"/>
            <w:gridSpan w:val="5"/>
            <w:vMerge w:val="continue"/>
            <w:tcBorders>
              <w:top w:val="nil"/>
              <w:left w:val="single" w:color="000000" w:sz="4" w:space="0"/>
              <w:bottom w:val="single" w:color="000000" w:sz="4" w:space="0"/>
              <w:right w:val="single" w:color="000000" w:sz="8" w:space="0"/>
            </w:tcBorders>
            <w:shd w:val="clear" w:color="auto" w:fill="auto"/>
            <w:vAlign w:val="top"/>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000" w:type="pct"/>
            <w:gridSpan w:val="6"/>
            <w:tcBorders>
              <w:top w:val="single" w:color="000000" w:sz="4" w:space="0"/>
              <w:left w:val="single" w:color="000000" w:sz="8" w:space="0"/>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业主单位签发意见：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000" w:type="pct"/>
            <w:gridSpan w:val="6"/>
            <w:vMerge w:val="restart"/>
            <w:tcBorders>
              <w:top w:val="nil"/>
              <w:left w:val="single" w:color="000000" w:sz="8" w:space="0"/>
              <w:bottom w:val="nil"/>
              <w:right w:val="single" w:color="000000" w:sz="8"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同意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000" w:type="pct"/>
            <w:gridSpan w:val="6"/>
            <w:vMerge w:val="continue"/>
            <w:tcBorders>
              <w:top w:val="nil"/>
              <w:left w:val="single" w:color="000000" w:sz="8" w:space="0"/>
              <w:bottom w:val="nil"/>
              <w:right w:val="single" w:color="000000" w:sz="8" w:space="0"/>
            </w:tcBorders>
            <w:shd w:val="clear" w:color="auto" w:fill="auto"/>
            <w:vAlign w:val="top"/>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000" w:type="pct"/>
            <w:gridSpan w:val="6"/>
            <w:vMerge w:val="continue"/>
            <w:tcBorders>
              <w:top w:val="nil"/>
              <w:left w:val="single" w:color="000000" w:sz="8" w:space="0"/>
              <w:bottom w:val="nil"/>
              <w:right w:val="single" w:color="000000" w:sz="8" w:space="0"/>
            </w:tcBorders>
            <w:shd w:val="clear" w:color="auto" w:fill="auto"/>
            <w:vAlign w:val="top"/>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776" w:type="pct"/>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p>
        </w:tc>
        <w:tc>
          <w:tcPr>
            <w:tcW w:w="1412" w:type="pct"/>
            <w:tcBorders>
              <w:top w:val="nil"/>
              <w:left w:val="nil"/>
              <w:bottom w:val="single" w:color="000000" w:sz="8"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01" w:type="pct"/>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业主单位工程师：</w:t>
            </w:r>
          </w:p>
        </w:tc>
        <w:tc>
          <w:tcPr>
            <w:tcW w:w="552" w:type="pct"/>
            <w:tcBorders>
              <w:top w:val="nil"/>
              <w:left w:val="nil"/>
              <w:bottom w:val="single" w:color="000000" w:sz="8" w:space="0"/>
              <w:right w:val="nil"/>
            </w:tcBorders>
            <w:shd w:val="clear" w:color="auto" w:fill="auto"/>
            <w:vAlign w:val="center"/>
          </w:tcPr>
          <w:p>
            <w:pPr>
              <w:jc w:val="left"/>
              <w:rPr>
                <w:rFonts w:hint="eastAsia" w:ascii="宋体" w:hAnsi="宋体" w:eastAsia="宋体" w:cs="宋体"/>
                <w:i w:val="0"/>
                <w:iCs w:val="0"/>
                <w:color w:val="FFFFFF"/>
                <w:sz w:val="10"/>
                <w:szCs w:val="10"/>
                <w:u w:val="none"/>
              </w:rPr>
            </w:pPr>
          </w:p>
        </w:tc>
        <w:tc>
          <w:tcPr>
            <w:tcW w:w="552" w:type="pct"/>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日期：</w:t>
            </w:r>
          </w:p>
        </w:tc>
        <w:tc>
          <w:tcPr>
            <w:tcW w:w="705" w:type="pct"/>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r>
    </w:tbl>
    <w:p>
      <w:pPr>
        <w:rPr>
          <w:rFonts w:ascii="Arial"/>
          <w:sz w:val="21"/>
        </w:rPr>
        <w:sectPr>
          <w:headerReference r:id="rId10" w:type="default"/>
          <w:footerReference r:id="rId11" w:type="default"/>
          <w:pgSz w:w="11906" w:h="16839"/>
          <w:pgMar w:top="400" w:right="1088" w:bottom="1156" w:left="1089" w:header="0" w:footer="996" w:gutter="0"/>
          <w:pgNumType w:fmt="decimal"/>
          <w:cols w:space="720" w:num="1"/>
        </w:sectPr>
      </w:pPr>
      <w:r>
        <w:rPr>
          <w:rFonts w:ascii="Arial"/>
          <w:sz w:val="21"/>
        </w:rPr>
        <w:br w:type="page"/>
      </w:r>
    </w:p>
    <w:p>
      <w:pPr>
        <w:pStyle w:val="2"/>
        <w:bidi w:val="0"/>
        <w:rPr>
          <w:rFonts w:hint="eastAsia" w:ascii="宋体" w:hAnsi="宋体" w:eastAsia="宋体" w:cs="宋体"/>
          <w:lang w:eastAsia="zh-CN"/>
        </w:rPr>
      </w:pPr>
      <w:bookmarkStart w:id="645" w:name="_Toc16212"/>
      <w:r>
        <w:rPr>
          <w:rFonts w:hint="eastAsia" w:ascii="宋体" w:hAnsi="宋体" w:eastAsia="宋体" w:cs="宋体"/>
          <w:lang w:val="en-US" w:eastAsia="zh-CN"/>
        </w:rPr>
        <w:t>六、材料调差</w:t>
      </w:r>
      <w:r>
        <w:rPr>
          <w:rFonts w:hint="eastAsia" w:ascii="宋体" w:hAnsi="宋体" w:eastAsia="宋体" w:cs="宋体"/>
          <w:lang w:eastAsia="zh-CN"/>
        </w:rPr>
        <w:t>资料</w:t>
      </w:r>
    </w:p>
    <w:p>
      <w:pPr>
        <w:spacing w:before="75" w:line="402" w:lineRule="auto"/>
        <w:ind w:left="1" w:hanging="1"/>
        <w:rPr>
          <w:rFonts w:hint="default"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w:t>
      </w:r>
      <w:r>
        <w:rPr>
          <w:rFonts w:hint="default" w:ascii="宋体" w:hAnsi="宋体" w:eastAsia="宋体" w:cs="宋体"/>
          <w:spacing w:val="14"/>
          <w:sz w:val="24"/>
          <w:szCs w:val="24"/>
          <w:lang w:val="en-US" w:eastAsia="zh-CN"/>
        </w:rPr>
        <w:t>发包人与承包人</w:t>
      </w:r>
      <w:r>
        <w:rPr>
          <w:rFonts w:hint="eastAsia" w:ascii="宋体" w:hAnsi="宋体" w:eastAsia="宋体" w:cs="宋体"/>
          <w:spacing w:val="14"/>
          <w:sz w:val="24"/>
          <w:szCs w:val="24"/>
          <w:lang w:val="en-US" w:eastAsia="zh-CN"/>
        </w:rPr>
        <w:t>根据协商</w:t>
      </w:r>
      <w:r>
        <w:rPr>
          <w:rFonts w:hint="default" w:ascii="宋体" w:hAnsi="宋体" w:eastAsia="宋体" w:cs="宋体"/>
          <w:spacing w:val="14"/>
          <w:sz w:val="24"/>
          <w:szCs w:val="24"/>
          <w:lang w:val="en-US" w:eastAsia="zh-CN"/>
        </w:rPr>
        <w:t>约定，采用造价信息法进行人工、材料等价格的调整。</w:t>
      </w:r>
    </w:p>
    <w:p>
      <w:pPr>
        <w:spacing w:before="75" w:line="402" w:lineRule="auto"/>
        <w:ind w:left="1" w:hanging="1"/>
        <w:rPr>
          <w:rFonts w:hint="default" w:ascii="宋体" w:hAnsi="宋体" w:eastAsia="宋体" w:cs="宋体"/>
          <w:spacing w:val="14"/>
          <w:sz w:val="24"/>
          <w:szCs w:val="24"/>
          <w:lang w:val="en-US" w:eastAsia="zh-CN"/>
        </w:rPr>
      </w:pPr>
      <w:r>
        <w:rPr>
          <w:rFonts w:hint="eastAsia"/>
        </w:rPr>
        <w:drawing>
          <wp:inline distT="0" distB="0" distL="0" distR="0">
            <wp:extent cx="3048000" cy="476250"/>
            <wp:effectExtent l="0" t="0" r="0" b="0"/>
            <wp:docPr id="51692726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927262" name="图片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048000" cy="476250"/>
                    </a:xfrm>
                    <a:prstGeom prst="rect">
                      <a:avLst/>
                    </a:prstGeom>
                    <a:noFill/>
                    <a:ln>
                      <a:noFill/>
                    </a:ln>
                  </pic:spPr>
                </pic:pic>
              </a:graphicData>
            </a:graphic>
          </wp:inline>
        </w:drawing>
      </w:r>
    </w:p>
    <w:p>
      <w:pPr>
        <w:spacing w:before="75" w:line="402" w:lineRule="auto"/>
        <w:ind w:left="1" w:hanging="1"/>
        <w:rPr>
          <w:rFonts w:hint="default" w:ascii="宋体" w:hAnsi="宋体" w:eastAsia="宋体" w:cs="宋体"/>
          <w:spacing w:val="14"/>
          <w:sz w:val="24"/>
          <w:szCs w:val="24"/>
          <w:lang w:val="en-US" w:eastAsia="zh-CN"/>
        </w:rPr>
      </w:pPr>
      <w:r>
        <w:rPr>
          <w:rFonts w:hint="default" w:ascii="宋体" w:hAnsi="宋体" w:eastAsia="宋体" w:cs="宋体"/>
          <w:spacing w:val="14"/>
          <w:sz w:val="24"/>
          <w:szCs w:val="24"/>
          <w:lang w:val="en-US" w:eastAsia="zh-CN"/>
        </w:rPr>
        <w:t>公式中：</w:t>
      </w:r>
    </w:p>
    <w:p>
      <w:pPr>
        <w:spacing w:before="75" w:line="402" w:lineRule="auto"/>
        <w:ind w:left="1" w:hanging="1"/>
        <w:rPr>
          <w:rFonts w:hint="default" w:ascii="宋体" w:hAnsi="宋体" w:eastAsia="宋体" w:cs="宋体"/>
          <w:spacing w:val="14"/>
          <w:sz w:val="24"/>
          <w:szCs w:val="24"/>
          <w:lang w:val="en-US" w:eastAsia="zh-CN"/>
        </w:rPr>
      </w:pPr>
      <w:r>
        <w:rPr>
          <w:rFonts w:hint="default" w:ascii="宋体" w:hAnsi="宋体" w:eastAsia="宋体" w:cs="宋体"/>
          <w:spacing w:val="14"/>
          <w:sz w:val="24"/>
          <w:szCs w:val="24"/>
          <w:lang w:val="en-US" w:eastAsia="zh-CN"/>
        </w:rPr>
        <w:t>△Ct——为t种材料价差调整金额；</w:t>
      </w:r>
    </w:p>
    <w:p>
      <w:pPr>
        <w:spacing w:before="75" w:line="402" w:lineRule="auto"/>
        <w:ind w:left="1" w:hanging="1"/>
        <w:rPr>
          <w:rFonts w:hint="default" w:ascii="宋体" w:hAnsi="宋体" w:eastAsia="宋体" w:cs="宋体"/>
          <w:spacing w:val="14"/>
          <w:sz w:val="24"/>
          <w:szCs w:val="24"/>
          <w:lang w:val="en-US" w:eastAsia="zh-CN"/>
        </w:rPr>
      </w:pPr>
      <w:r>
        <w:rPr>
          <w:rFonts w:hint="default" w:ascii="宋体" w:hAnsi="宋体" w:eastAsia="宋体" w:cs="宋体"/>
          <w:spacing w:val="14"/>
          <w:sz w:val="24"/>
          <w:szCs w:val="24"/>
          <w:lang w:val="en-US" w:eastAsia="zh-CN"/>
        </w:rPr>
        <w:t>Co——基准价，通常招标工程以投标截止前28天、非招标工程以合同签订前28天为基准日，并以当期对应工程造价信息材料价格为基准价；</w:t>
      </w:r>
    </w:p>
    <w:p>
      <w:pPr>
        <w:spacing w:before="75" w:line="402" w:lineRule="auto"/>
        <w:ind w:left="1" w:hanging="1"/>
        <w:rPr>
          <w:rFonts w:hint="default" w:ascii="宋体" w:hAnsi="宋体" w:eastAsia="宋体" w:cs="宋体"/>
          <w:spacing w:val="14"/>
          <w:sz w:val="24"/>
          <w:szCs w:val="24"/>
          <w:lang w:val="en-US" w:eastAsia="zh-CN"/>
        </w:rPr>
      </w:pPr>
      <w:r>
        <w:rPr>
          <w:rFonts w:hint="default" w:ascii="宋体" w:hAnsi="宋体" w:eastAsia="宋体" w:cs="宋体"/>
          <w:spacing w:val="14"/>
          <w:sz w:val="24"/>
          <w:szCs w:val="24"/>
          <w:lang w:val="en-US" w:eastAsia="zh-CN"/>
        </w:rPr>
        <w:t>Ca——当前调差周期所对应的材料信息价；</w:t>
      </w:r>
    </w:p>
    <w:p>
      <w:pPr>
        <w:spacing w:before="75" w:line="402" w:lineRule="auto"/>
        <w:ind w:left="1" w:hanging="1"/>
        <w:rPr>
          <w:rFonts w:hint="default" w:ascii="宋体" w:hAnsi="宋体" w:eastAsia="宋体" w:cs="宋体"/>
          <w:spacing w:val="14"/>
          <w:sz w:val="24"/>
          <w:szCs w:val="24"/>
          <w:lang w:val="en-US" w:eastAsia="zh-CN"/>
        </w:rPr>
      </w:pPr>
      <w:r>
        <w:rPr>
          <w:rFonts w:hint="default" w:ascii="宋体" w:hAnsi="宋体" w:eastAsia="宋体" w:cs="宋体"/>
          <w:spacing w:val="14"/>
          <w:sz w:val="24"/>
          <w:szCs w:val="24"/>
          <w:lang w:val="en-US" w:eastAsia="zh-CN"/>
        </w:rPr>
        <w:t>r——价格波动风险幅度值，指承包方承担的钢材、水泥、油料、地材等材料单价变化的幅度范围；</w:t>
      </w:r>
    </w:p>
    <w:p>
      <w:pPr>
        <w:spacing w:before="75" w:line="402" w:lineRule="auto"/>
        <w:ind w:left="1" w:hanging="1"/>
        <w:rPr>
          <w:rFonts w:hint="default" w:ascii="宋体" w:hAnsi="宋体" w:eastAsia="宋体" w:cs="宋体"/>
          <w:spacing w:val="14"/>
          <w:sz w:val="24"/>
          <w:szCs w:val="24"/>
          <w:lang w:val="en-US" w:eastAsia="zh-CN"/>
        </w:rPr>
      </w:pPr>
      <w:r>
        <w:rPr>
          <w:rFonts w:hint="default" w:ascii="宋体" w:hAnsi="宋体" w:eastAsia="宋体" w:cs="宋体"/>
          <w:spacing w:val="14"/>
          <w:sz w:val="24"/>
          <w:szCs w:val="24"/>
          <w:lang w:val="en-US" w:eastAsia="zh-CN"/>
        </w:rPr>
        <w:t>Vt——当前调差周期应进行价格调整的材料数量，以承包方当月计量工程量为基础，钢材调差量乘以预算定额消耗系数；水泥、地材、沥青等乘以施工配合比消耗系数；油料按投标报价相关报表数据进行调整。</w:t>
      </w:r>
    </w:p>
    <w:p>
      <w:pPr>
        <w:spacing w:before="75" w:line="402" w:lineRule="auto"/>
        <w:ind w:left="1" w:hanging="1"/>
        <w:rPr>
          <w:rFonts w:hint="default" w:ascii="宋体" w:hAnsi="宋体" w:eastAsia="宋体" w:cs="宋体"/>
          <w:spacing w:val="14"/>
          <w:sz w:val="24"/>
          <w:szCs w:val="24"/>
          <w:lang w:val="en-US" w:eastAsia="zh-CN"/>
        </w:rPr>
      </w:pPr>
      <w:r>
        <w:rPr>
          <w:rFonts w:hint="default" w:ascii="宋体" w:hAnsi="宋体" w:eastAsia="宋体" w:cs="宋体"/>
          <w:spacing w:val="14"/>
          <w:sz w:val="24"/>
          <w:szCs w:val="24"/>
          <w:lang w:val="en-US" w:eastAsia="zh-CN"/>
        </w:rPr>
        <w:t>价格波动风险幅度值，发、承包双方约定</w:t>
      </w:r>
      <w:r>
        <w:rPr>
          <w:rFonts w:hint="eastAsia" w:ascii="宋体" w:hAnsi="宋体" w:eastAsia="宋体" w:cs="宋体"/>
          <w:spacing w:val="14"/>
          <w:sz w:val="24"/>
          <w:szCs w:val="24"/>
          <w:lang w:val="en-US" w:eastAsia="zh-CN"/>
        </w:rPr>
        <w:t>：</w:t>
      </w:r>
      <w:r>
        <w:rPr>
          <w:rFonts w:hint="default" w:ascii="宋体" w:hAnsi="宋体" w:eastAsia="宋体" w:cs="宋体"/>
          <w:spacing w:val="14"/>
          <w:sz w:val="24"/>
          <w:szCs w:val="24"/>
          <w:lang w:val="en-US" w:eastAsia="zh-CN"/>
        </w:rPr>
        <w:t>钢材，r=</w:t>
      </w:r>
      <w:r>
        <w:rPr>
          <w:rFonts w:hint="eastAsia" w:ascii="宋体" w:hAnsi="宋体" w:eastAsia="宋体" w:cs="宋体"/>
          <w:spacing w:val="14"/>
          <w:sz w:val="24"/>
          <w:szCs w:val="24"/>
          <w:lang w:val="en-US" w:eastAsia="zh-CN"/>
        </w:rPr>
        <w:t>4</w:t>
      </w:r>
      <w:r>
        <w:rPr>
          <w:rFonts w:hint="default" w:ascii="宋体" w:hAnsi="宋体" w:eastAsia="宋体" w:cs="宋体"/>
          <w:spacing w:val="14"/>
          <w:sz w:val="24"/>
          <w:szCs w:val="24"/>
          <w:lang w:val="en-US" w:eastAsia="zh-CN"/>
        </w:rPr>
        <w:t>；水泥、半成品（含成品）、燃油，r=</w:t>
      </w:r>
      <w:r>
        <w:rPr>
          <w:rFonts w:hint="eastAsia" w:ascii="宋体" w:hAnsi="宋体" w:eastAsia="宋体" w:cs="宋体"/>
          <w:spacing w:val="14"/>
          <w:sz w:val="24"/>
          <w:szCs w:val="24"/>
          <w:lang w:val="en-US" w:eastAsia="zh-CN"/>
        </w:rPr>
        <w:t>7</w:t>
      </w:r>
      <w:r>
        <w:rPr>
          <w:rFonts w:hint="default" w:ascii="宋体" w:hAnsi="宋体" w:eastAsia="宋体" w:cs="宋体"/>
          <w:spacing w:val="14"/>
          <w:sz w:val="24"/>
          <w:szCs w:val="24"/>
          <w:lang w:val="en-US" w:eastAsia="zh-CN"/>
        </w:rPr>
        <w:t>；地材，r=</w:t>
      </w:r>
      <w:r>
        <w:rPr>
          <w:rFonts w:hint="eastAsia" w:ascii="宋体" w:hAnsi="宋体" w:eastAsia="宋体" w:cs="宋体"/>
          <w:spacing w:val="14"/>
          <w:sz w:val="24"/>
          <w:szCs w:val="24"/>
          <w:lang w:val="en-US" w:eastAsia="zh-CN"/>
        </w:rPr>
        <w:t>9</w:t>
      </w:r>
      <w:r>
        <w:rPr>
          <w:rFonts w:hint="default" w:ascii="宋体" w:hAnsi="宋体" w:eastAsia="宋体" w:cs="宋体"/>
          <w:spacing w:val="14"/>
          <w:sz w:val="24"/>
          <w:szCs w:val="24"/>
          <w:lang w:val="en-US" w:eastAsia="zh-CN"/>
        </w:rPr>
        <w:t>。</w:t>
      </w:r>
    </w:p>
    <w:p>
      <w:pPr>
        <w:spacing w:before="75" w:line="402" w:lineRule="auto"/>
        <w:rPr>
          <w:rFonts w:ascii="Arial"/>
          <w:sz w:val="21"/>
        </w:rPr>
        <w:sectPr>
          <w:headerReference r:id="rId12" w:type="default"/>
          <w:footerReference r:id="rId13" w:type="default"/>
          <w:pgSz w:w="11906" w:h="16839"/>
          <w:pgMar w:top="400" w:right="1088" w:bottom="1156" w:left="1089" w:header="0" w:footer="996" w:gutter="0"/>
          <w:pgNumType w:fmt="decimal"/>
          <w:cols w:space="720" w:num="1"/>
        </w:sectPr>
      </w:pPr>
    </w:p>
    <w:p>
      <w:pPr>
        <w:spacing w:before="75" w:line="402" w:lineRule="auto"/>
        <w:ind w:left="1" w:hanging="1"/>
        <w:rPr>
          <w:rFonts w:hint="default"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（2）第二周期调差清单材料消耗量表</w:t>
      </w:r>
      <w:r>
        <w:rPr>
          <w:rFonts w:hint="default" w:ascii="宋体" w:hAnsi="宋体" w:eastAsia="宋体" w:cs="宋体"/>
          <w:spacing w:val="14"/>
          <w:sz w:val="24"/>
          <w:szCs w:val="24"/>
          <w:lang w:val="en-US" w:eastAsia="zh-CN"/>
        </w:rPr>
        <w:t>。</w:t>
      </w:r>
    </w:p>
    <w:tbl>
      <w:tblPr>
        <w:tblStyle w:val="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733"/>
        <w:gridCol w:w="4929"/>
        <w:gridCol w:w="853"/>
        <w:gridCol w:w="1178"/>
        <w:gridCol w:w="1203"/>
        <w:gridCol w:w="1597"/>
        <w:gridCol w:w="1684"/>
        <w:gridCol w:w="13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trPr>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21"/>
                <w:szCs w:val="21"/>
                <w:u w:val="none"/>
              </w:rPr>
            </w:pPr>
            <w:r>
              <w:rPr>
                <w:rFonts w:hint="default" w:ascii="Arial" w:hAnsi="Arial" w:eastAsia="宋体" w:cs="Arial"/>
                <w:b/>
                <w:bCs/>
                <w:i w:val="0"/>
                <w:iCs w:val="0"/>
                <w:snapToGrid w:val="0"/>
                <w:color w:val="000000"/>
                <w:kern w:val="0"/>
                <w:sz w:val="21"/>
                <w:szCs w:val="21"/>
                <w:u w:val="none"/>
                <w:lang w:val="en-US" w:eastAsia="zh-CN" w:bidi="ar"/>
              </w:rPr>
              <w:t>细目编号</w:t>
            </w:r>
          </w:p>
        </w:tc>
        <w:tc>
          <w:tcPr>
            <w:tcW w:w="1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21"/>
                <w:szCs w:val="21"/>
                <w:u w:val="none"/>
              </w:rPr>
            </w:pPr>
            <w:r>
              <w:rPr>
                <w:rFonts w:hint="default" w:ascii="Arial" w:hAnsi="Arial" w:eastAsia="宋体" w:cs="Arial"/>
                <w:b/>
                <w:bCs/>
                <w:i w:val="0"/>
                <w:iCs w:val="0"/>
                <w:snapToGrid w:val="0"/>
                <w:color w:val="000000"/>
                <w:kern w:val="0"/>
                <w:sz w:val="21"/>
                <w:szCs w:val="21"/>
                <w:u w:val="none"/>
                <w:lang w:val="en-US" w:eastAsia="zh-CN" w:bidi="ar"/>
              </w:rPr>
              <w:t>项目名称</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21"/>
                <w:szCs w:val="21"/>
                <w:u w:val="none"/>
              </w:rPr>
            </w:pPr>
            <w:r>
              <w:rPr>
                <w:rFonts w:hint="default" w:ascii="Arial" w:hAnsi="Arial" w:eastAsia="宋体" w:cs="Arial"/>
                <w:b/>
                <w:bCs/>
                <w:i w:val="0"/>
                <w:iCs w:val="0"/>
                <w:snapToGrid w:val="0"/>
                <w:color w:val="000000"/>
                <w:kern w:val="0"/>
                <w:sz w:val="21"/>
                <w:szCs w:val="21"/>
                <w:u w:val="none"/>
                <w:lang w:val="en-US" w:eastAsia="zh-CN" w:bidi="ar"/>
              </w:rPr>
              <w:t>单位</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21"/>
                <w:szCs w:val="21"/>
                <w:u w:val="none"/>
              </w:rPr>
            </w:pPr>
            <w:r>
              <w:rPr>
                <w:rFonts w:hint="default" w:ascii="Arial" w:hAnsi="Arial" w:eastAsia="宋体" w:cs="Arial"/>
                <w:b/>
                <w:bCs/>
                <w:i w:val="0"/>
                <w:iCs w:val="0"/>
                <w:snapToGrid w:val="0"/>
                <w:color w:val="000000"/>
                <w:kern w:val="0"/>
                <w:sz w:val="21"/>
                <w:szCs w:val="21"/>
                <w:u w:val="none"/>
                <w:lang w:val="en-US" w:eastAsia="zh-CN" w:bidi="ar"/>
              </w:rPr>
              <w:t>材料代号</w:t>
            </w:r>
          </w:p>
        </w:tc>
        <w:tc>
          <w:tcPr>
            <w:tcW w:w="4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21"/>
                <w:szCs w:val="21"/>
                <w:u w:val="none"/>
              </w:rPr>
            </w:pPr>
            <w:r>
              <w:rPr>
                <w:rFonts w:hint="default" w:ascii="Arial" w:hAnsi="Arial" w:eastAsia="宋体" w:cs="Arial"/>
                <w:b/>
                <w:bCs/>
                <w:i w:val="0"/>
                <w:iCs w:val="0"/>
                <w:snapToGrid w:val="0"/>
                <w:color w:val="000000"/>
                <w:kern w:val="0"/>
                <w:sz w:val="21"/>
                <w:szCs w:val="21"/>
                <w:u w:val="none"/>
                <w:lang w:val="en-US" w:eastAsia="zh-CN" w:bidi="ar"/>
              </w:rPr>
              <w:t>材料名称</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21"/>
                <w:szCs w:val="21"/>
                <w:u w:val="none"/>
              </w:rPr>
            </w:pPr>
            <w:r>
              <w:rPr>
                <w:rFonts w:hint="default" w:ascii="Arial" w:hAnsi="Arial" w:eastAsia="宋体" w:cs="Arial"/>
                <w:b/>
                <w:bCs/>
                <w:i w:val="0"/>
                <w:iCs w:val="0"/>
                <w:snapToGrid w:val="0"/>
                <w:color w:val="000000"/>
                <w:kern w:val="0"/>
                <w:sz w:val="21"/>
                <w:szCs w:val="21"/>
                <w:u w:val="none"/>
                <w:lang w:val="en-US" w:eastAsia="zh-CN" w:bidi="ar"/>
              </w:rPr>
              <w:t>材料单位</w:t>
            </w:r>
          </w:p>
        </w:tc>
        <w:tc>
          <w:tcPr>
            <w:tcW w:w="5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21"/>
                <w:szCs w:val="21"/>
                <w:u w:val="none"/>
              </w:rPr>
            </w:pPr>
            <w:r>
              <w:rPr>
                <w:rFonts w:hint="default" w:ascii="Arial" w:hAnsi="Arial" w:eastAsia="宋体" w:cs="Arial"/>
                <w:b/>
                <w:bCs/>
                <w:i w:val="0"/>
                <w:iCs w:val="0"/>
                <w:snapToGrid w:val="0"/>
                <w:color w:val="000000"/>
                <w:kern w:val="0"/>
                <w:sz w:val="21"/>
                <w:szCs w:val="21"/>
                <w:u w:val="none"/>
                <w:lang w:val="en-US" w:eastAsia="zh-CN" w:bidi="ar"/>
              </w:rPr>
              <w:t>单位消耗量</w:t>
            </w: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21"/>
                <w:szCs w:val="21"/>
                <w:u w:val="none"/>
              </w:rPr>
            </w:pPr>
            <w:r>
              <w:rPr>
                <w:rFonts w:hint="default" w:ascii="Arial" w:hAnsi="Arial" w:eastAsia="宋体" w:cs="Arial"/>
                <w:b/>
                <w:bCs/>
                <w:i w:val="0"/>
                <w:iCs w:val="0"/>
                <w:snapToGrid w:val="0"/>
                <w:color w:val="000000"/>
                <w:kern w:val="0"/>
                <w:sz w:val="21"/>
                <w:szCs w:val="21"/>
                <w:u w:val="none"/>
                <w:lang w:val="en-US" w:eastAsia="zh-CN" w:bidi="ar"/>
              </w:rPr>
              <w:t>税率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rPr>
            </w:pPr>
            <w:r>
              <w:rPr>
                <w:rFonts w:hint="default" w:ascii="Arial" w:hAnsi="Arial" w:eastAsia="宋体" w:cs="Arial"/>
                <w:i w:val="0"/>
                <w:iCs w:val="0"/>
                <w:snapToGrid w:val="0"/>
                <w:color w:val="000000"/>
                <w:kern w:val="0"/>
                <w:sz w:val="21"/>
                <w:szCs w:val="21"/>
                <w:u w:val="none"/>
                <w:lang w:val="en-US" w:eastAsia="zh-CN" w:bidi="ar"/>
              </w:rPr>
              <w:t>403-1-a</w:t>
            </w:r>
          </w:p>
        </w:tc>
        <w:tc>
          <w:tcPr>
            <w:tcW w:w="4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rPr>
            </w:pPr>
            <w:r>
              <w:rPr>
                <w:rFonts w:hint="default" w:ascii="Arial" w:hAnsi="Arial" w:eastAsia="宋体" w:cs="Arial"/>
                <w:i w:val="0"/>
                <w:iCs w:val="0"/>
                <w:snapToGrid w:val="0"/>
                <w:color w:val="000000"/>
                <w:kern w:val="0"/>
                <w:sz w:val="21"/>
                <w:szCs w:val="21"/>
                <w:u w:val="none"/>
                <w:lang w:val="en-US" w:eastAsia="zh-CN" w:bidi="ar"/>
              </w:rPr>
              <w:t>光圆钢筋（R235）</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lang w:val="en-US" w:eastAsia="zh-CN"/>
              </w:rPr>
            </w:pPr>
            <w:r>
              <w:rPr>
                <w:rFonts w:hint="default" w:ascii="Arial" w:hAnsi="Arial" w:eastAsia="宋体" w:cs="Arial"/>
                <w:i w:val="0"/>
                <w:iCs w:val="0"/>
                <w:snapToGrid w:val="0"/>
                <w:color w:val="000000"/>
                <w:kern w:val="0"/>
                <w:sz w:val="21"/>
                <w:szCs w:val="21"/>
                <w:u w:val="none"/>
                <w:lang w:val="en-US" w:eastAsia="zh-CN" w:bidi="ar"/>
              </w:rPr>
              <w:t>kg</w:t>
            </w:r>
          </w:p>
        </w:tc>
        <w:tc>
          <w:tcPr>
            <w:tcW w:w="11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eastAsia="zh-CN"/>
              </w:rPr>
            </w:pPr>
            <w:r>
              <w:rPr>
                <w:rFonts w:hint="eastAsia" w:eastAsia="宋体" w:cs="Arial"/>
                <w:i w:val="0"/>
                <w:iCs w:val="0"/>
                <w:snapToGrid w:val="0"/>
                <w:color w:val="000000"/>
                <w:kern w:val="0"/>
                <w:sz w:val="21"/>
                <w:szCs w:val="21"/>
                <w:u w:val="none"/>
                <w:lang w:val="en-US" w:eastAsia="zh-CN" w:bidi="ar"/>
              </w:rPr>
              <w:t>0</w:t>
            </w:r>
            <w:r>
              <w:rPr>
                <w:rFonts w:hint="default" w:ascii="Arial" w:hAnsi="Arial" w:eastAsia="宋体" w:cs="Arial"/>
                <w:i w:val="0"/>
                <w:iCs w:val="0"/>
                <w:snapToGrid w:val="0"/>
                <w:color w:val="000000"/>
                <w:kern w:val="0"/>
                <w:sz w:val="21"/>
                <w:szCs w:val="21"/>
                <w:u w:val="none"/>
                <w:lang w:val="en-US" w:eastAsia="zh-CN" w:bidi="ar"/>
              </w:rPr>
              <w:t>0001</w:t>
            </w:r>
          </w:p>
        </w:tc>
        <w:tc>
          <w:tcPr>
            <w:tcW w:w="1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default" w:ascii="Arial" w:hAnsi="Arial" w:eastAsia="宋体" w:cs="Arial"/>
                <w:i w:val="0"/>
                <w:iCs w:val="0"/>
                <w:snapToGrid w:val="0"/>
                <w:color w:val="000000"/>
                <w:kern w:val="0"/>
                <w:sz w:val="21"/>
                <w:szCs w:val="21"/>
                <w:u w:val="none"/>
                <w:lang w:val="en-US" w:eastAsia="zh-CN" w:bidi="ar"/>
              </w:rPr>
              <w:t>光圆钢筋</w:t>
            </w:r>
          </w:p>
        </w:tc>
        <w:tc>
          <w:tcPr>
            <w:tcW w:w="1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eastAsia="zh-CN"/>
              </w:rPr>
            </w:pPr>
            <w:r>
              <w:rPr>
                <w:rFonts w:hint="default" w:ascii="Arial" w:hAnsi="Arial" w:eastAsia="宋体" w:cs="Arial"/>
                <w:i w:val="0"/>
                <w:iCs w:val="0"/>
                <w:snapToGrid w:val="0"/>
                <w:color w:val="000000"/>
                <w:kern w:val="0"/>
                <w:sz w:val="21"/>
                <w:szCs w:val="21"/>
                <w:u w:val="none"/>
                <w:lang w:val="en-US" w:eastAsia="zh-CN" w:bidi="ar"/>
              </w:rPr>
              <w:t>kg</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eastAsia="宋体" w:cs="Arial"/>
                <w:i w:val="0"/>
                <w:iCs w:val="0"/>
                <w:color w:val="000000"/>
                <w:sz w:val="21"/>
                <w:szCs w:val="21"/>
                <w:u w:val="none"/>
                <w:lang w:val="en-US" w:eastAsia="zh-CN"/>
              </w:rPr>
            </w:pPr>
            <w:r>
              <w:rPr>
                <w:rFonts w:hint="default" w:ascii="Arial" w:hAnsi="Arial" w:eastAsia="宋体" w:cs="Arial"/>
                <w:i w:val="0"/>
                <w:iCs w:val="0"/>
                <w:snapToGrid w:val="0"/>
                <w:color w:val="000000"/>
                <w:kern w:val="0"/>
                <w:sz w:val="21"/>
                <w:szCs w:val="21"/>
                <w:u w:val="none"/>
                <w:lang w:val="en-US" w:eastAsia="zh-CN" w:bidi="ar"/>
              </w:rPr>
              <w:t>1.0</w:t>
            </w:r>
            <w:r>
              <w:rPr>
                <w:rFonts w:hint="eastAsia" w:eastAsia="宋体" w:cs="Arial"/>
                <w:i w:val="0"/>
                <w:iCs w:val="0"/>
                <w:snapToGrid w:val="0"/>
                <w:color w:val="000000"/>
                <w:kern w:val="0"/>
                <w:sz w:val="21"/>
                <w:szCs w:val="21"/>
                <w:u w:val="none"/>
                <w:lang w:val="en-US" w:eastAsia="zh-CN" w:bidi="ar"/>
              </w:rPr>
              <w:t>14</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default" w:ascii="Arial" w:hAnsi="Arial" w:eastAsia="宋体" w:cs="Arial"/>
                <w:i w:val="0"/>
                <w:iCs w:val="0"/>
                <w:snapToGrid w:val="0"/>
                <w:color w:val="000000"/>
                <w:kern w:val="0"/>
                <w:sz w:val="21"/>
                <w:szCs w:val="21"/>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default" w:ascii="Arial" w:hAnsi="Arial" w:eastAsia="宋体" w:cs="Arial"/>
                <w:i w:val="0"/>
                <w:iCs w:val="0"/>
                <w:snapToGrid w:val="0"/>
                <w:color w:val="000000"/>
                <w:kern w:val="0"/>
                <w:sz w:val="21"/>
                <w:szCs w:val="21"/>
                <w:u w:val="none"/>
                <w:lang w:val="en-US" w:eastAsia="zh-CN" w:bidi="ar"/>
              </w:rPr>
              <w:t>403-1-b</w:t>
            </w:r>
          </w:p>
        </w:tc>
        <w:tc>
          <w:tcPr>
            <w:tcW w:w="4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default" w:ascii="Arial" w:hAnsi="Arial" w:eastAsia="宋体" w:cs="Arial"/>
                <w:i w:val="0"/>
                <w:iCs w:val="0"/>
                <w:snapToGrid w:val="0"/>
                <w:color w:val="000000"/>
                <w:kern w:val="0"/>
                <w:sz w:val="21"/>
                <w:szCs w:val="21"/>
                <w:u w:val="none"/>
                <w:lang w:val="en-US" w:eastAsia="zh-CN" w:bidi="ar"/>
              </w:rPr>
              <w:t>带肋钢筋（HRB335、HRB400）</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default" w:ascii="Arial" w:hAnsi="Arial" w:eastAsia="宋体" w:cs="Arial"/>
                <w:i w:val="0"/>
                <w:iCs w:val="0"/>
                <w:snapToGrid w:val="0"/>
                <w:color w:val="000000"/>
                <w:kern w:val="0"/>
                <w:sz w:val="21"/>
                <w:szCs w:val="21"/>
                <w:u w:val="none"/>
                <w:lang w:val="en-US" w:eastAsia="zh-CN" w:bidi="ar"/>
              </w:rPr>
              <w:t>kg</w:t>
            </w:r>
          </w:p>
        </w:tc>
        <w:tc>
          <w:tcPr>
            <w:tcW w:w="11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eastAsia="zh-CN"/>
              </w:rPr>
            </w:pPr>
            <w:r>
              <w:rPr>
                <w:rFonts w:hint="eastAsia" w:eastAsia="宋体" w:cs="Arial"/>
                <w:i w:val="0"/>
                <w:iCs w:val="0"/>
                <w:snapToGrid w:val="0"/>
                <w:color w:val="000000"/>
                <w:kern w:val="0"/>
                <w:sz w:val="21"/>
                <w:szCs w:val="21"/>
                <w:u w:val="none"/>
                <w:lang w:val="en-US" w:eastAsia="zh-CN" w:bidi="ar"/>
              </w:rPr>
              <w:t>0</w:t>
            </w:r>
            <w:r>
              <w:rPr>
                <w:rFonts w:hint="default" w:ascii="Arial" w:hAnsi="Arial" w:eastAsia="宋体" w:cs="Arial"/>
                <w:i w:val="0"/>
                <w:iCs w:val="0"/>
                <w:snapToGrid w:val="0"/>
                <w:color w:val="000000"/>
                <w:kern w:val="0"/>
                <w:sz w:val="21"/>
                <w:szCs w:val="21"/>
                <w:u w:val="none"/>
                <w:lang w:val="en-US" w:eastAsia="zh-CN" w:bidi="ar"/>
              </w:rPr>
              <w:t>0002</w:t>
            </w:r>
          </w:p>
        </w:tc>
        <w:tc>
          <w:tcPr>
            <w:tcW w:w="1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snapToGrid w:val="0"/>
                <w:color w:val="000000"/>
                <w:kern w:val="0"/>
                <w:sz w:val="21"/>
                <w:szCs w:val="21"/>
                <w:u w:val="none"/>
                <w:lang w:val="en-US" w:eastAsia="zh-CN" w:bidi="ar"/>
              </w:rPr>
              <w:t>带肋钢筋</w:t>
            </w:r>
          </w:p>
        </w:tc>
        <w:tc>
          <w:tcPr>
            <w:tcW w:w="1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default" w:ascii="Arial" w:hAnsi="Arial" w:eastAsia="宋体" w:cs="Arial"/>
                <w:i w:val="0"/>
                <w:iCs w:val="0"/>
                <w:snapToGrid w:val="0"/>
                <w:color w:val="000000"/>
                <w:kern w:val="0"/>
                <w:sz w:val="21"/>
                <w:szCs w:val="21"/>
                <w:u w:val="none"/>
                <w:lang w:val="en-US" w:eastAsia="zh-CN" w:bidi="ar"/>
              </w:rPr>
              <w:t>kg</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eastAsia="宋体" w:cs="Arial"/>
                <w:i w:val="0"/>
                <w:iCs w:val="0"/>
                <w:color w:val="000000"/>
                <w:sz w:val="21"/>
                <w:szCs w:val="21"/>
                <w:u w:val="none"/>
                <w:lang w:val="en-US" w:eastAsia="zh-CN"/>
              </w:rPr>
            </w:pPr>
            <w:r>
              <w:rPr>
                <w:rFonts w:hint="default" w:ascii="Arial" w:hAnsi="Arial" w:eastAsia="宋体" w:cs="Arial"/>
                <w:i w:val="0"/>
                <w:iCs w:val="0"/>
                <w:snapToGrid w:val="0"/>
                <w:color w:val="000000"/>
                <w:kern w:val="0"/>
                <w:sz w:val="21"/>
                <w:szCs w:val="21"/>
                <w:u w:val="none"/>
                <w:lang w:val="en-US" w:eastAsia="zh-CN" w:bidi="ar"/>
              </w:rPr>
              <w:t>1.01</w:t>
            </w:r>
            <w:r>
              <w:rPr>
                <w:rFonts w:hint="eastAsia" w:eastAsia="宋体" w:cs="Arial"/>
                <w:i w:val="0"/>
                <w:iCs w:val="0"/>
                <w:snapToGrid w:val="0"/>
                <w:color w:val="000000"/>
                <w:kern w:val="0"/>
                <w:sz w:val="21"/>
                <w:szCs w:val="21"/>
                <w:u w:val="none"/>
                <w:lang w:val="en-US" w:eastAsia="zh-CN" w:bidi="ar"/>
              </w:rPr>
              <w:t>4</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default" w:ascii="Arial" w:hAnsi="Arial" w:eastAsia="宋体" w:cs="Arial"/>
                <w:i w:val="0"/>
                <w:iCs w:val="0"/>
                <w:snapToGrid w:val="0"/>
                <w:color w:val="000000"/>
                <w:kern w:val="0"/>
                <w:sz w:val="21"/>
                <w:szCs w:val="21"/>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lang w:val="en-US"/>
              </w:rPr>
            </w:pPr>
            <w:r>
              <w:rPr>
                <w:rFonts w:hint="default" w:ascii="Arial" w:hAnsi="Arial" w:eastAsia="宋体" w:cs="Arial"/>
                <w:i w:val="0"/>
                <w:iCs w:val="0"/>
                <w:snapToGrid w:val="0"/>
                <w:color w:val="000000"/>
                <w:kern w:val="0"/>
                <w:sz w:val="21"/>
                <w:szCs w:val="21"/>
                <w:u w:val="none"/>
                <w:lang w:val="en-US" w:eastAsia="zh-CN" w:bidi="ar"/>
              </w:rPr>
              <w:t>405-</w:t>
            </w:r>
            <w:r>
              <w:rPr>
                <w:rFonts w:hint="eastAsia" w:eastAsia="宋体" w:cs="Arial"/>
                <w:i w:val="0"/>
                <w:iCs w:val="0"/>
                <w:snapToGrid w:val="0"/>
                <w:color w:val="000000"/>
                <w:kern w:val="0"/>
                <w:sz w:val="21"/>
                <w:szCs w:val="21"/>
                <w:u w:val="none"/>
                <w:lang w:val="en-US" w:eastAsia="zh-CN" w:bidi="ar"/>
              </w:rPr>
              <w:t>1</w:t>
            </w:r>
            <w:r>
              <w:rPr>
                <w:rFonts w:hint="default" w:ascii="Arial" w:hAnsi="Arial" w:eastAsia="宋体" w:cs="Arial"/>
                <w:i w:val="0"/>
                <w:iCs w:val="0"/>
                <w:snapToGrid w:val="0"/>
                <w:color w:val="000000"/>
                <w:kern w:val="0"/>
                <w:sz w:val="21"/>
                <w:szCs w:val="21"/>
                <w:u w:val="none"/>
                <w:lang w:val="en-US" w:eastAsia="zh-CN" w:bidi="ar"/>
              </w:rPr>
              <w:t>-</w:t>
            </w:r>
            <w:r>
              <w:rPr>
                <w:rFonts w:hint="eastAsia" w:eastAsia="宋体" w:cs="Arial"/>
                <w:i w:val="0"/>
                <w:iCs w:val="0"/>
                <w:snapToGrid w:val="0"/>
                <w:color w:val="000000"/>
                <w:kern w:val="0"/>
                <w:sz w:val="21"/>
                <w:szCs w:val="21"/>
                <w:u w:val="none"/>
                <w:lang w:val="en-US" w:eastAsia="zh-CN" w:bidi="ar"/>
              </w:rPr>
              <w:t>b</w:t>
            </w:r>
          </w:p>
        </w:tc>
        <w:tc>
          <w:tcPr>
            <w:tcW w:w="4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snapToGrid w:val="0"/>
                <w:color w:val="000000"/>
                <w:kern w:val="0"/>
                <w:sz w:val="21"/>
                <w:szCs w:val="21"/>
                <w:u w:val="none"/>
                <w:lang w:val="en-US" w:eastAsia="zh-CN" w:bidi="ar"/>
              </w:rPr>
              <w:t>陆上钻孔灌注桩桩径</w:t>
            </w:r>
            <w:r>
              <w:rPr>
                <w:rStyle w:val="21"/>
                <w:rFonts w:eastAsia="宋体"/>
                <w:snapToGrid w:val="0"/>
                <w:color w:val="000000"/>
                <w:sz w:val="21"/>
                <w:szCs w:val="21"/>
                <w:lang w:val="en-US" w:eastAsia="zh-CN" w:bidi="ar"/>
              </w:rPr>
              <w:t>1m</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default" w:ascii="Arial" w:hAnsi="Arial" w:eastAsia="宋体" w:cs="Arial"/>
                <w:i w:val="0"/>
                <w:iCs w:val="0"/>
                <w:snapToGrid w:val="0"/>
                <w:color w:val="000000"/>
                <w:kern w:val="0"/>
                <w:sz w:val="21"/>
                <w:szCs w:val="21"/>
                <w:u w:val="none"/>
                <w:lang w:val="en-US" w:eastAsia="zh-CN" w:bidi="ar"/>
              </w:rPr>
              <w:t>m</w:t>
            </w:r>
          </w:p>
        </w:tc>
        <w:tc>
          <w:tcPr>
            <w:tcW w:w="11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eastAsia="zh-CN"/>
              </w:rPr>
            </w:pPr>
            <w:r>
              <w:rPr>
                <w:rFonts w:hint="eastAsia" w:eastAsia="宋体" w:cs="Arial"/>
                <w:i w:val="0"/>
                <w:iCs w:val="0"/>
                <w:snapToGrid w:val="0"/>
                <w:color w:val="000000"/>
                <w:kern w:val="0"/>
                <w:sz w:val="21"/>
                <w:szCs w:val="21"/>
                <w:u w:val="none"/>
                <w:lang w:val="en-US" w:eastAsia="zh-CN" w:bidi="ar"/>
              </w:rPr>
              <w:t>0</w:t>
            </w:r>
            <w:r>
              <w:rPr>
                <w:rFonts w:hint="default" w:ascii="Arial" w:hAnsi="Arial" w:eastAsia="宋体" w:cs="Arial"/>
                <w:i w:val="0"/>
                <w:iCs w:val="0"/>
                <w:snapToGrid w:val="0"/>
                <w:color w:val="000000"/>
                <w:kern w:val="0"/>
                <w:sz w:val="21"/>
                <w:szCs w:val="21"/>
                <w:u w:val="none"/>
                <w:lang w:val="en-US" w:eastAsia="zh-CN" w:bidi="ar"/>
              </w:rPr>
              <w:t>0003</w:t>
            </w:r>
          </w:p>
        </w:tc>
        <w:tc>
          <w:tcPr>
            <w:tcW w:w="1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eastAsia="zh-CN"/>
              </w:rPr>
            </w:pPr>
            <w:r>
              <w:rPr>
                <w:rFonts w:hint="default" w:ascii="Arial" w:hAnsi="Arial" w:eastAsia="宋体" w:cs="Arial"/>
                <w:i w:val="0"/>
                <w:iCs w:val="0"/>
                <w:snapToGrid w:val="0"/>
                <w:color w:val="000000"/>
                <w:kern w:val="0"/>
                <w:sz w:val="21"/>
                <w:szCs w:val="21"/>
                <w:u w:val="none"/>
                <w:lang w:val="en-US" w:eastAsia="zh-CN" w:bidi="ar"/>
              </w:rPr>
              <w:t>32.5</w:t>
            </w:r>
            <w:r>
              <w:rPr>
                <w:rFonts w:hint="eastAsia" w:ascii="宋体" w:hAnsi="宋体" w:eastAsia="宋体" w:cs="宋体"/>
                <w:i w:val="0"/>
                <w:iCs w:val="0"/>
                <w:snapToGrid w:val="0"/>
                <w:color w:val="000000"/>
                <w:kern w:val="0"/>
                <w:sz w:val="21"/>
                <w:szCs w:val="21"/>
                <w:u w:val="none"/>
                <w:lang w:val="en-US" w:eastAsia="zh-CN" w:bidi="ar"/>
              </w:rPr>
              <w:t>水泥</w:t>
            </w:r>
          </w:p>
        </w:tc>
        <w:tc>
          <w:tcPr>
            <w:tcW w:w="1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lang w:val="en-US"/>
              </w:rPr>
            </w:pPr>
            <w:r>
              <w:rPr>
                <w:rFonts w:hint="default" w:ascii="Arial" w:hAnsi="Arial" w:eastAsia="宋体" w:cs="Arial"/>
                <w:i w:val="0"/>
                <w:iCs w:val="0"/>
                <w:snapToGrid w:val="0"/>
                <w:color w:val="000000"/>
                <w:kern w:val="0"/>
                <w:sz w:val="21"/>
                <w:szCs w:val="21"/>
                <w:u w:val="none"/>
                <w:lang w:val="en-US" w:eastAsia="zh-CN" w:bidi="ar"/>
              </w:rPr>
              <w:t>t</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eastAsia="宋体" w:cs="Arial"/>
                <w:i w:val="0"/>
                <w:iCs w:val="0"/>
                <w:color w:val="000000"/>
                <w:sz w:val="21"/>
                <w:szCs w:val="21"/>
                <w:u w:val="none"/>
                <w:lang w:val="en-US" w:eastAsia="zh-CN"/>
              </w:rPr>
            </w:pPr>
            <w:r>
              <w:rPr>
                <w:rFonts w:hint="default" w:ascii="Arial" w:hAnsi="Arial" w:eastAsia="宋体" w:cs="Arial"/>
                <w:i w:val="0"/>
                <w:iCs w:val="0"/>
                <w:snapToGrid w:val="0"/>
                <w:color w:val="000000"/>
                <w:kern w:val="0"/>
                <w:sz w:val="21"/>
                <w:szCs w:val="21"/>
                <w:u w:val="none"/>
                <w:lang w:val="en-US" w:eastAsia="zh-CN" w:bidi="ar"/>
              </w:rPr>
              <w:t>0.5</w:t>
            </w:r>
            <w:r>
              <w:rPr>
                <w:rFonts w:hint="eastAsia" w:eastAsia="宋体" w:cs="Arial"/>
                <w:i w:val="0"/>
                <w:iCs w:val="0"/>
                <w:snapToGrid w:val="0"/>
                <w:color w:val="000000"/>
                <w:kern w:val="0"/>
                <w:sz w:val="21"/>
                <w:szCs w:val="21"/>
                <w:u w:val="none"/>
                <w:lang w:val="en-US" w:eastAsia="zh-CN" w:bidi="ar"/>
              </w:rPr>
              <w:t>91</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default" w:ascii="Arial" w:hAnsi="Arial" w:eastAsia="宋体" w:cs="Arial"/>
                <w:i w:val="0"/>
                <w:iCs w:val="0"/>
                <w:snapToGrid w:val="0"/>
                <w:color w:val="000000"/>
                <w:kern w:val="0"/>
                <w:sz w:val="21"/>
                <w:szCs w:val="21"/>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default" w:ascii="Arial" w:hAnsi="Arial" w:eastAsia="宋体" w:cs="Arial"/>
                <w:i w:val="0"/>
                <w:iCs w:val="0"/>
                <w:snapToGrid w:val="0"/>
                <w:color w:val="000000"/>
                <w:kern w:val="0"/>
                <w:sz w:val="21"/>
                <w:szCs w:val="21"/>
                <w:u w:val="none"/>
                <w:lang w:val="en-US" w:eastAsia="zh-CN" w:bidi="ar"/>
              </w:rPr>
              <w:t>405-</w:t>
            </w:r>
            <w:r>
              <w:rPr>
                <w:rFonts w:hint="eastAsia" w:eastAsia="宋体" w:cs="Arial"/>
                <w:i w:val="0"/>
                <w:iCs w:val="0"/>
                <w:snapToGrid w:val="0"/>
                <w:color w:val="000000"/>
                <w:kern w:val="0"/>
                <w:sz w:val="21"/>
                <w:szCs w:val="21"/>
                <w:u w:val="none"/>
                <w:lang w:val="en-US" w:eastAsia="zh-CN" w:bidi="ar"/>
              </w:rPr>
              <w:t>1</w:t>
            </w:r>
            <w:r>
              <w:rPr>
                <w:rFonts w:hint="default" w:ascii="Arial" w:hAnsi="Arial" w:eastAsia="宋体" w:cs="Arial"/>
                <w:i w:val="0"/>
                <w:iCs w:val="0"/>
                <w:snapToGrid w:val="0"/>
                <w:color w:val="000000"/>
                <w:kern w:val="0"/>
                <w:sz w:val="21"/>
                <w:szCs w:val="21"/>
                <w:u w:val="none"/>
                <w:lang w:val="en-US" w:eastAsia="zh-CN" w:bidi="ar"/>
              </w:rPr>
              <w:t>-</w:t>
            </w:r>
            <w:r>
              <w:rPr>
                <w:rFonts w:hint="eastAsia" w:eastAsia="宋体" w:cs="Arial"/>
                <w:i w:val="0"/>
                <w:iCs w:val="0"/>
                <w:snapToGrid w:val="0"/>
                <w:color w:val="000000"/>
                <w:kern w:val="0"/>
                <w:sz w:val="21"/>
                <w:szCs w:val="21"/>
                <w:u w:val="none"/>
                <w:lang w:val="en-US" w:eastAsia="zh-CN" w:bidi="ar"/>
              </w:rPr>
              <w:t>b</w:t>
            </w:r>
          </w:p>
        </w:tc>
        <w:tc>
          <w:tcPr>
            <w:tcW w:w="4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陆上钻孔灌注桩桩径</w:t>
            </w:r>
            <w:r>
              <w:rPr>
                <w:rStyle w:val="21"/>
                <w:rFonts w:eastAsia="宋体"/>
                <w:snapToGrid w:val="0"/>
                <w:color w:val="000000"/>
                <w:sz w:val="21"/>
                <w:szCs w:val="21"/>
                <w:lang w:val="en-US" w:eastAsia="zh-CN" w:bidi="ar"/>
              </w:rPr>
              <w:t>1m</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default" w:ascii="Arial" w:hAnsi="Arial" w:eastAsia="宋体" w:cs="Arial"/>
                <w:i w:val="0"/>
                <w:iCs w:val="0"/>
                <w:snapToGrid w:val="0"/>
                <w:color w:val="000000"/>
                <w:kern w:val="0"/>
                <w:sz w:val="21"/>
                <w:szCs w:val="21"/>
                <w:u w:val="none"/>
                <w:lang w:val="en-US" w:eastAsia="zh-CN" w:bidi="ar"/>
              </w:rPr>
              <w:t>m</w:t>
            </w:r>
          </w:p>
        </w:tc>
        <w:tc>
          <w:tcPr>
            <w:tcW w:w="11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eastAsia="zh-CN"/>
              </w:rPr>
            </w:pPr>
            <w:r>
              <w:rPr>
                <w:rFonts w:hint="eastAsia" w:eastAsia="宋体" w:cs="Arial"/>
                <w:i w:val="0"/>
                <w:iCs w:val="0"/>
                <w:snapToGrid w:val="0"/>
                <w:color w:val="000000"/>
                <w:kern w:val="0"/>
                <w:sz w:val="21"/>
                <w:szCs w:val="21"/>
                <w:u w:val="none"/>
                <w:lang w:val="en-US" w:eastAsia="zh-CN" w:bidi="ar"/>
              </w:rPr>
              <w:t>0</w:t>
            </w:r>
            <w:r>
              <w:rPr>
                <w:rFonts w:hint="default" w:ascii="Arial" w:hAnsi="Arial" w:eastAsia="宋体" w:cs="Arial"/>
                <w:i w:val="0"/>
                <w:iCs w:val="0"/>
                <w:snapToGrid w:val="0"/>
                <w:color w:val="000000"/>
                <w:kern w:val="0"/>
                <w:sz w:val="21"/>
                <w:szCs w:val="21"/>
                <w:u w:val="none"/>
                <w:lang w:val="en-US" w:eastAsia="zh-CN" w:bidi="ar"/>
              </w:rPr>
              <w:t>0004</w:t>
            </w:r>
          </w:p>
        </w:tc>
        <w:tc>
          <w:tcPr>
            <w:tcW w:w="12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Arial" w:hAnsi="Arial" w:eastAsia="宋体" w:cs="Arial"/>
                <w:i w:val="0"/>
                <w:iCs w:val="0"/>
                <w:color w:val="000000"/>
                <w:sz w:val="21"/>
                <w:szCs w:val="21"/>
                <w:u w:val="none"/>
                <w:lang w:val="en-US" w:eastAsia="zh-CN"/>
              </w:rPr>
            </w:pPr>
            <w:r>
              <w:rPr>
                <w:rFonts w:hint="eastAsia" w:ascii="宋体" w:hAnsi="宋体" w:eastAsia="宋体" w:cs="宋体"/>
                <w:i w:val="0"/>
                <w:iCs w:val="0"/>
                <w:snapToGrid w:val="0"/>
                <w:color w:val="000000"/>
                <w:kern w:val="0"/>
                <w:sz w:val="21"/>
                <w:szCs w:val="21"/>
                <w:u w:val="none"/>
                <w:lang w:val="en-US" w:eastAsia="zh-CN" w:bidi="ar"/>
              </w:rPr>
              <w:t>中粗砂</w:t>
            </w:r>
          </w:p>
        </w:tc>
        <w:tc>
          <w:tcPr>
            <w:tcW w:w="15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Arial" w:hAnsi="Arial" w:eastAsia="宋体" w:cs="Arial"/>
                <w:i w:val="0"/>
                <w:iCs w:val="0"/>
                <w:color w:val="000000"/>
                <w:sz w:val="21"/>
                <w:szCs w:val="21"/>
                <w:u w:val="none"/>
                <w:lang w:val="en-US" w:eastAsia="zh-CN"/>
              </w:rPr>
            </w:pPr>
            <w:r>
              <w:rPr>
                <w:rFonts w:hint="default" w:ascii="Arial" w:hAnsi="Arial" w:eastAsia="宋体" w:cs="Arial"/>
                <w:i w:val="0"/>
                <w:iCs w:val="0"/>
                <w:snapToGrid w:val="0"/>
                <w:color w:val="000000"/>
                <w:kern w:val="0"/>
                <w:sz w:val="21"/>
                <w:szCs w:val="21"/>
                <w:u w:val="none"/>
                <w:lang w:val="en-US" w:eastAsia="zh-CN" w:bidi="ar"/>
              </w:rPr>
              <w:t>m3</w:t>
            </w:r>
          </w:p>
        </w:tc>
        <w:tc>
          <w:tcPr>
            <w:tcW w:w="16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lang w:val="en-US"/>
              </w:rPr>
            </w:pPr>
            <w:r>
              <w:rPr>
                <w:rFonts w:hint="default" w:ascii="Arial" w:hAnsi="Arial" w:eastAsia="宋体" w:cs="Arial"/>
                <w:i w:val="0"/>
                <w:iCs w:val="0"/>
                <w:snapToGrid w:val="0"/>
                <w:color w:val="000000"/>
                <w:kern w:val="0"/>
                <w:sz w:val="21"/>
                <w:szCs w:val="21"/>
                <w:u w:val="none"/>
                <w:lang w:val="en-US" w:eastAsia="zh-CN" w:bidi="ar"/>
              </w:rPr>
              <w:t>0.69</w:t>
            </w:r>
            <w:r>
              <w:rPr>
                <w:rFonts w:hint="eastAsia" w:eastAsia="宋体" w:cs="Arial"/>
                <w:i w:val="0"/>
                <w:iCs w:val="0"/>
                <w:snapToGrid w:val="0"/>
                <w:color w:val="000000"/>
                <w:kern w:val="0"/>
                <w:sz w:val="21"/>
                <w:szCs w:val="21"/>
                <w:u w:val="none"/>
                <w:lang w:val="en-US" w:eastAsia="zh-CN" w:bidi="ar"/>
              </w:rPr>
              <w:t>3</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default" w:ascii="Arial" w:hAnsi="Arial" w:eastAsia="宋体" w:cs="Arial"/>
                <w:i w:val="0"/>
                <w:iCs w:val="0"/>
                <w:snapToGrid w:val="0"/>
                <w:color w:val="000000"/>
                <w:kern w:val="0"/>
                <w:sz w:val="21"/>
                <w:szCs w:val="21"/>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trPr>
        <w:tc>
          <w:tcPr>
            <w:tcW w:w="27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20"/>
                <w:szCs w:val="20"/>
                <w:u w:val="none"/>
                <w:lang w:val="en-US" w:eastAsia="zh-CN" w:bidi="ar"/>
              </w:rPr>
            </w:pPr>
            <w:r>
              <w:rPr>
                <w:rFonts w:hint="default" w:ascii="Arial" w:hAnsi="Arial" w:eastAsia="宋体" w:cs="Arial"/>
                <w:i w:val="0"/>
                <w:iCs w:val="0"/>
                <w:snapToGrid w:val="0"/>
                <w:color w:val="000000"/>
                <w:kern w:val="0"/>
                <w:sz w:val="21"/>
                <w:szCs w:val="21"/>
                <w:u w:val="none"/>
                <w:lang w:val="en-US" w:eastAsia="zh-CN" w:bidi="ar"/>
              </w:rPr>
              <w:t>405-</w:t>
            </w:r>
            <w:r>
              <w:rPr>
                <w:rFonts w:hint="eastAsia" w:eastAsia="宋体" w:cs="Arial"/>
                <w:i w:val="0"/>
                <w:iCs w:val="0"/>
                <w:snapToGrid w:val="0"/>
                <w:color w:val="000000"/>
                <w:kern w:val="0"/>
                <w:sz w:val="21"/>
                <w:szCs w:val="21"/>
                <w:u w:val="none"/>
                <w:lang w:val="en-US" w:eastAsia="zh-CN" w:bidi="ar"/>
              </w:rPr>
              <w:t>1</w:t>
            </w:r>
            <w:r>
              <w:rPr>
                <w:rFonts w:hint="default" w:ascii="Arial" w:hAnsi="Arial" w:eastAsia="宋体" w:cs="Arial"/>
                <w:i w:val="0"/>
                <w:iCs w:val="0"/>
                <w:snapToGrid w:val="0"/>
                <w:color w:val="000000"/>
                <w:kern w:val="0"/>
                <w:sz w:val="21"/>
                <w:szCs w:val="21"/>
                <w:u w:val="none"/>
                <w:lang w:val="en-US" w:eastAsia="zh-CN" w:bidi="ar"/>
              </w:rPr>
              <w:t>-</w:t>
            </w:r>
            <w:r>
              <w:rPr>
                <w:rFonts w:hint="eastAsia" w:eastAsia="宋体" w:cs="Arial"/>
                <w:i w:val="0"/>
                <w:iCs w:val="0"/>
                <w:snapToGrid w:val="0"/>
                <w:color w:val="000000"/>
                <w:kern w:val="0"/>
                <w:sz w:val="21"/>
                <w:szCs w:val="21"/>
                <w:u w:val="none"/>
                <w:lang w:val="en-US" w:eastAsia="zh-CN" w:bidi="ar"/>
              </w:rPr>
              <w:t>b</w:t>
            </w:r>
          </w:p>
        </w:tc>
        <w:tc>
          <w:tcPr>
            <w:tcW w:w="4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1"/>
                <w:szCs w:val="21"/>
                <w:u w:val="none"/>
                <w:lang w:val="en-US" w:eastAsia="zh-CN" w:bidi="ar"/>
              </w:rPr>
              <w:t>陆上钻孔灌注桩桩径</w:t>
            </w:r>
            <w:r>
              <w:rPr>
                <w:rStyle w:val="21"/>
                <w:rFonts w:eastAsia="宋体"/>
                <w:snapToGrid w:val="0"/>
                <w:color w:val="000000"/>
                <w:sz w:val="21"/>
                <w:szCs w:val="21"/>
                <w:lang w:val="en-US" w:eastAsia="zh-CN" w:bidi="ar"/>
              </w:rPr>
              <w:t>1m</w:t>
            </w:r>
          </w:p>
        </w:tc>
        <w:tc>
          <w:tcPr>
            <w:tcW w:w="8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default" w:ascii="Arial" w:hAnsi="Arial" w:eastAsia="宋体" w:cs="Arial"/>
                <w:i w:val="0"/>
                <w:iCs w:val="0"/>
                <w:snapToGrid w:val="0"/>
                <w:color w:val="000000"/>
                <w:kern w:val="0"/>
                <w:sz w:val="21"/>
                <w:szCs w:val="21"/>
                <w:u w:val="none"/>
                <w:lang w:val="en-US" w:eastAsia="zh-CN" w:bidi="ar"/>
              </w:rPr>
              <w:t>m</w:t>
            </w:r>
          </w:p>
        </w:tc>
        <w:tc>
          <w:tcPr>
            <w:tcW w:w="11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eastAsia="zh-CN"/>
              </w:rPr>
            </w:pPr>
            <w:r>
              <w:rPr>
                <w:rFonts w:hint="eastAsia" w:eastAsia="宋体" w:cs="Arial"/>
                <w:i w:val="0"/>
                <w:iCs w:val="0"/>
                <w:snapToGrid w:val="0"/>
                <w:color w:val="000000"/>
                <w:kern w:val="0"/>
                <w:sz w:val="21"/>
                <w:szCs w:val="21"/>
                <w:u w:val="none"/>
                <w:lang w:val="en-US" w:eastAsia="zh-CN" w:bidi="ar"/>
              </w:rPr>
              <w:t>0</w:t>
            </w:r>
            <w:r>
              <w:rPr>
                <w:rFonts w:hint="default" w:ascii="Arial" w:hAnsi="Arial" w:eastAsia="宋体" w:cs="Arial"/>
                <w:i w:val="0"/>
                <w:iCs w:val="0"/>
                <w:snapToGrid w:val="0"/>
                <w:color w:val="000000"/>
                <w:kern w:val="0"/>
                <w:sz w:val="21"/>
                <w:szCs w:val="21"/>
                <w:u w:val="none"/>
                <w:lang w:val="en-US" w:eastAsia="zh-CN" w:bidi="ar"/>
              </w:rPr>
              <w:t>0005</w:t>
            </w:r>
          </w:p>
        </w:tc>
        <w:tc>
          <w:tcPr>
            <w:tcW w:w="12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Arial" w:hAnsi="Arial" w:eastAsia="宋体" w:cs="Arial"/>
                <w:i w:val="0"/>
                <w:iCs w:val="0"/>
                <w:color w:val="000000"/>
                <w:sz w:val="21"/>
                <w:szCs w:val="21"/>
                <w:u w:val="none"/>
                <w:lang w:val="en-US" w:eastAsia="zh-CN"/>
              </w:rPr>
            </w:pPr>
            <w:r>
              <w:rPr>
                <w:rFonts w:hint="eastAsia" w:ascii="宋体" w:hAnsi="宋体" w:eastAsia="宋体" w:cs="宋体"/>
                <w:i w:val="0"/>
                <w:iCs w:val="0"/>
                <w:snapToGrid w:val="0"/>
                <w:color w:val="000000"/>
                <w:kern w:val="0"/>
                <w:sz w:val="21"/>
                <w:szCs w:val="21"/>
                <w:u w:val="none"/>
                <w:lang w:val="en-US" w:eastAsia="zh-CN" w:bidi="ar"/>
              </w:rPr>
              <w:t>碎石</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eastAsia="zh-CN"/>
              </w:rPr>
            </w:pPr>
            <w:r>
              <w:rPr>
                <w:rFonts w:hint="default" w:ascii="Arial" w:hAnsi="Arial" w:eastAsia="宋体" w:cs="Arial"/>
                <w:i w:val="0"/>
                <w:iCs w:val="0"/>
                <w:snapToGrid w:val="0"/>
                <w:color w:val="000000"/>
                <w:kern w:val="0"/>
                <w:sz w:val="21"/>
                <w:szCs w:val="21"/>
                <w:u w:val="none"/>
                <w:lang w:val="en-US" w:eastAsia="zh-CN" w:bidi="ar"/>
              </w:rPr>
              <w:t>m3</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lang w:val="en-US"/>
              </w:rPr>
            </w:pPr>
            <w:r>
              <w:rPr>
                <w:rFonts w:hint="default" w:ascii="Arial" w:hAnsi="Arial" w:eastAsia="宋体" w:cs="Arial"/>
                <w:i w:val="0"/>
                <w:iCs w:val="0"/>
                <w:snapToGrid w:val="0"/>
                <w:color w:val="000000"/>
                <w:kern w:val="0"/>
                <w:sz w:val="21"/>
                <w:szCs w:val="21"/>
                <w:u w:val="none"/>
                <w:lang w:val="en-US" w:eastAsia="zh-CN" w:bidi="ar"/>
              </w:rPr>
              <w:t>0.9</w:t>
            </w:r>
            <w:r>
              <w:rPr>
                <w:rFonts w:hint="eastAsia" w:eastAsia="宋体" w:cs="Arial"/>
                <w:i w:val="0"/>
                <w:iCs w:val="0"/>
                <w:snapToGrid w:val="0"/>
                <w:color w:val="000000"/>
                <w:kern w:val="0"/>
                <w:sz w:val="21"/>
                <w:szCs w:val="21"/>
                <w:u w:val="none"/>
                <w:lang w:val="en-US" w:eastAsia="zh-CN" w:bidi="ar"/>
              </w:rPr>
              <w:t>35</w:t>
            </w:r>
          </w:p>
        </w:tc>
        <w:tc>
          <w:tcPr>
            <w:tcW w:w="1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default" w:ascii="Arial" w:hAnsi="Arial" w:eastAsia="宋体" w:cs="Arial"/>
                <w:i w:val="0"/>
                <w:iCs w:val="0"/>
                <w:snapToGrid w:val="0"/>
                <w:color w:val="000000"/>
                <w:kern w:val="0"/>
                <w:sz w:val="21"/>
                <w:szCs w:val="21"/>
                <w:u w:val="none"/>
                <w:lang w:val="en-US" w:eastAsia="zh-CN" w:bidi="ar"/>
              </w:rPr>
              <w:t>9</w:t>
            </w:r>
          </w:p>
        </w:tc>
      </w:tr>
    </w:tbl>
    <w:p>
      <w:pPr>
        <w:spacing w:before="75" w:line="402" w:lineRule="auto"/>
        <w:ind w:left="1" w:hanging="1"/>
        <w:rPr>
          <w:rFonts w:hint="default"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（3）第二周期调差清单材料价格表</w:t>
      </w:r>
      <w:r>
        <w:rPr>
          <w:rFonts w:hint="default" w:ascii="宋体" w:hAnsi="宋体" w:eastAsia="宋体" w:cs="宋体"/>
          <w:spacing w:val="14"/>
          <w:sz w:val="24"/>
          <w:szCs w:val="24"/>
          <w:lang w:val="en-US" w:eastAsia="zh-CN"/>
        </w:rPr>
        <w:t>。</w:t>
      </w:r>
    </w:p>
    <w:tbl>
      <w:tblPr>
        <w:tblStyle w:val="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71"/>
        <w:gridCol w:w="1842"/>
        <w:gridCol w:w="1411"/>
        <w:gridCol w:w="2146"/>
        <w:gridCol w:w="1929"/>
        <w:gridCol w:w="1929"/>
        <w:gridCol w:w="1929"/>
        <w:gridCol w:w="26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5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Arial" w:hAnsi="Arial" w:cs="Arial"/>
                <w:b/>
                <w:bCs/>
                <w:i w:val="0"/>
                <w:iCs w:val="0"/>
                <w:color w:val="000000"/>
                <w:sz w:val="21"/>
                <w:szCs w:val="21"/>
                <w:u w:val="none"/>
              </w:rPr>
            </w:pPr>
            <w:r>
              <w:rPr>
                <w:rFonts w:hint="default" w:ascii="Arial" w:hAnsi="Arial" w:eastAsia="宋体" w:cs="Arial"/>
                <w:b/>
                <w:bCs/>
                <w:i w:val="0"/>
                <w:iCs w:val="0"/>
                <w:snapToGrid w:val="0"/>
                <w:color w:val="000000"/>
                <w:kern w:val="0"/>
                <w:sz w:val="21"/>
                <w:szCs w:val="21"/>
                <w:u w:val="none"/>
                <w:lang w:val="en-US" w:eastAsia="zh-CN" w:bidi="ar"/>
              </w:rPr>
              <w:t>材料代号</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21"/>
                <w:szCs w:val="21"/>
                <w:u w:val="none"/>
              </w:rPr>
            </w:pPr>
            <w:r>
              <w:rPr>
                <w:rFonts w:hint="default" w:ascii="Arial" w:hAnsi="Arial" w:eastAsia="宋体" w:cs="Arial"/>
                <w:b/>
                <w:bCs/>
                <w:i w:val="0"/>
                <w:iCs w:val="0"/>
                <w:snapToGrid w:val="0"/>
                <w:color w:val="000000"/>
                <w:kern w:val="0"/>
                <w:sz w:val="21"/>
                <w:szCs w:val="21"/>
                <w:u w:val="none"/>
                <w:lang w:val="en-US" w:eastAsia="zh-CN" w:bidi="ar"/>
              </w:rPr>
              <w:t>材料名称</w:t>
            </w:r>
          </w:p>
        </w:tc>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21"/>
                <w:szCs w:val="21"/>
                <w:u w:val="none"/>
              </w:rPr>
            </w:pPr>
            <w:r>
              <w:rPr>
                <w:rFonts w:hint="default" w:ascii="Arial" w:hAnsi="Arial" w:eastAsia="宋体" w:cs="Arial"/>
                <w:b/>
                <w:bCs/>
                <w:i w:val="0"/>
                <w:iCs w:val="0"/>
                <w:snapToGrid w:val="0"/>
                <w:color w:val="000000"/>
                <w:kern w:val="0"/>
                <w:sz w:val="21"/>
                <w:szCs w:val="21"/>
                <w:u w:val="none"/>
                <w:lang w:val="en-US" w:eastAsia="zh-CN" w:bidi="ar"/>
              </w:rPr>
              <w:t>材料单位</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000000"/>
                <w:kern w:val="0"/>
                <w:sz w:val="21"/>
                <w:szCs w:val="21"/>
                <w:u w:val="none"/>
                <w:lang w:val="en-US" w:eastAsia="zh-CN" w:bidi="ar"/>
              </w:rPr>
              <w:t>材料类别</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000000"/>
                <w:kern w:val="0"/>
                <w:sz w:val="21"/>
                <w:szCs w:val="21"/>
                <w:u w:val="none"/>
                <w:lang w:val="en-US" w:eastAsia="zh-CN" w:bidi="ar"/>
              </w:rPr>
              <w:t>调差方法</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000000"/>
                <w:kern w:val="0"/>
                <w:sz w:val="21"/>
                <w:szCs w:val="21"/>
                <w:u w:val="none"/>
                <w:lang w:val="en-US" w:eastAsia="zh-CN" w:bidi="ar"/>
              </w:rPr>
              <w:t>基准价</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000000"/>
                <w:kern w:val="0"/>
                <w:sz w:val="21"/>
                <w:szCs w:val="21"/>
                <w:u w:val="none"/>
                <w:lang w:val="en-US" w:eastAsia="zh-CN" w:bidi="ar"/>
              </w:rPr>
              <w:t>信息价</w:t>
            </w: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000000"/>
                <w:kern w:val="0"/>
                <w:sz w:val="21"/>
                <w:szCs w:val="21"/>
                <w:u w:val="none"/>
                <w:lang w:val="en-US" w:eastAsia="zh-CN" w:bidi="ar"/>
              </w:rPr>
              <w:t>现行价格指数期数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trPr>
        <w:tc>
          <w:tcPr>
            <w:tcW w:w="1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eastAsia="宋体" w:cs="Arial"/>
                <w:i w:val="0"/>
                <w:iCs w:val="0"/>
                <w:snapToGrid w:val="0"/>
                <w:color w:val="000000"/>
                <w:kern w:val="0"/>
                <w:sz w:val="21"/>
                <w:szCs w:val="21"/>
                <w:u w:val="none"/>
                <w:lang w:val="en-US" w:eastAsia="zh-CN" w:bidi="ar"/>
              </w:rPr>
              <w:t>0</w:t>
            </w:r>
            <w:r>
              <w:rPr>
                <w:rFonts w:hint="default" w:ascii="Arial" w:hAnsi="Arial" w:eastAsia="宋体" w:cs="Arial"/>
                <w:i w:val="0"/>
                <w:iCs w:val="0"/>
                <w:snapToGrid w:val="0"/>
                <w:color w:val="000000"/>
                <w:kern w:val="0"/>
                <w:sz w:val="21"/>
                <w:szCs w:val="21"/>
                <w:u w:val="none"/>
                <w:lang w:val="en-US" w:eastAsia="zh-CN" w:bidi="ar"/>
              </w:rPr>
              <w:t>0001</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default" w:ascii="Arial" w:hAnsi="Arial" w:eastAsia="宋体" w:cs="Arial"/>
                <w:i w:val="0"/>
                <w:iCs w:val="0"/>
                <w:snapToGrid w:val="0"/>
                <w:color w:val="000000"/>
                <w:kern w:val="0"/>
                <w:sz w:val="21"/>
                <w:szCs w:val="21"/>
                <w:u w:val="none"/>
                <w:lang w:val="en-US" w:eastAsia="zh-CN" w:bidi="ar"/>
              </w:rPr>
              <w:t>光圆钢筋</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default" w:ascii="Arial" w:hAnsi="Arial" w:eastAsia="宋体" w:cs="Arial"/>
                <w:i w:val="0"/>
                <w:iCs w:val="0"/>
                <w:snapToGrid w:val="0"/>
                <w:color w:val="000000"/>
                <w:kern w:val="0"/>
                <w:sz w:val="21"/>
                <w:szCs w:val="21"/>
                <w:u w:val="none"/>
                <w:lang w:val="en-US" w:eastAsia="zh-CN" w:bidi="ar"/>
              </w:rPr>
              <w:t>kg</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光圆钢筋</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造价信息法</w:t>
            </w:r>
          </w:p>
        </w:tc>
        <w:tc>
          <w:tcPr>
            <w:tcW w:w="1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eastAsia="zh-CN"/>
              </w:rPr>
            </w:pPr>
            <w:r>
              <w:rPr>
                <w:rFonts w:hint="default" w:ascii="Arial" w:hAnsi="Arial" w:eastAsia="宋体" w:cs="Arial"/>
                <w:i w:val="0"/>
                <w:iCs w:val="0"/>
                <w:snapToGrid w:val="0"/>
                <w:color w:val="000000"/>
                <w:kern w:val="0"/>
                <w:sz w:val="21"/>
                <w:szCs w:val="21"/>
                <w:u w:val="none"/>
                <w:lang w:val="en-US" w:eastAsia="zh-CN" w:bidi="ar"/>
              </w:rPr>
              <w:t>4.</w:t>
            </w:r>
            <w:r>
              <w:rPr>
                <w:rFonts w:hint="eastAsia" w:eastAsia="宋体" w:cs="Arial"/>
                <w:i w:val="0"/>
                <w:iCs w:val="0"/>
                <w:snapToGrid w:val="0"/>
                <w:color w:val="000000"/>
                <w:kern w:val="0"/>
                <w:sz w:val="21"/>
                <w:szCs w:val="21"/>
                <w:u w:val="none"/>
                <w:lang w:val="en-US" w:eastAsia="zh-CN" w:bidi="ar"/>
              </w:rPr>
              <w:t>4</w:t>
            </w:r>
          </w:p>
        </w:tc>
        <w:tc>
          <w:tcPr>
            <w:tcW w:w="1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eastAsia="zh-CN"/>
              </w:rPr>
            </w:pPr>
            <w:r>
              <w:rPr>
                <w:rFonts w:hint="default" w:ascii="Arial" w:hAnsi="Arial" w:eastAsia="宋体" w:cs="Arial"/>
                <w:i w:val="0"/>
                <w:iCs w:val="0"/>
                <w:snapToGrid w:val="0"/>
                <w:color w:val="000000"/>
                <w:kern w:val="0"/>
                <w:sz w:val="21"/>
                <w:szCs w:val="21"/>
                <w:u w:val="none"/>
                <w:lang w:val="en-US" w:eastAsia="zh-CN" w:bidi="ar"/>
              </w:rPr>
              <w:t>6</w:t>
            </w:r>
            <w:r>
              <w:rPr>
                <w:rFonts w:hint="eastAsia" w:eastAsia="宋体" w:cs="Arial"/>
                <w:i w:val="0"/>
                <w:iCs w:val="0"/>
                <w:snapToGrid w:val="0"/>
                <w:color w:val="000000"/>
                <w:kern w:val="0"/>
                <w:sz w:val="21"/>
                <w:szCs w:val="21"/>
                <w:u w:val="none"/>
                <w:lang w:val="en-US" w:eastAsia="zh-CN" w:bidi="ar"/>
              </w:rPr>
              <w:t>.1</w:t>
            </w: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eastAsia="宋体" w:cs="Arial"/>
                <w:i w:val="0"/>
                <w:iCs w:val="0"/>
                <w:snapToGrid w:val="0"/>
                <w:color w:val="000000"/>
                <w:kern w:val="0"/>
                <w:sz w:val="21"/>
                <w:szCs w:val="21"/>
                <w:u w:val="none"/>
                <w:lang w:val="en-US" w:eastAsia="zh-CN" w:bidi="ar"/>
              </w:rPr>
              <w:t>2021</w:t>
            </w:r>
            <w:r>
              <w:rPr>
                <w:rFonts w:hint="default" w:ascii="Arial" w:hAnsi="Arial" w:eastAsia="宋体" w:cs="Arial"/>
                <w:i w:val="0"/>
                <w:iCs w:val="0"/>
                <w:snapToGrid w:val="0"/>
                <w:color w:val="000000"/>
                <w:kern w:val="0"/>
                <w:sz w:val="21"/>
                <w:szCs w:val="21"/>
                <w:u w:val="none"/>
                <w:lang w:val="en-US" w:eastAsia="zh-CN" w:bidi="ar"/>
              </w:rPr>
              <w:t>年</w:t>
            </w:r>
            <w:r>
              <w:rPr>
                <w:rFonts w:hint="eastAsia" w:eastAsia="宋体" w:cs="Arial"/>
                <w:i w:val="0"/>
                <w:iCs w:val="0"/>
                <w:snapToGrid w:val="0"/>
                <w:color w:val="000000"/>
                <w:kern w:val="0"/>
                <w:sz w:val="21"/>
                <w:szCs w:val="21"/>
                <w:u w:val="none"/>
                <w:lang w:val="en-US" w:eastAsia="zh-CN" w:bidi="ar"/>
              </w:rPr>
              <w:t>4</w:t>
            </w:r>
            <w:r>
              <w:rPr>
                <w:rFonts w:hint="default" w:ascii="Arial" w:hAnsi="Arial" w:eastAsia="宋体" w:cs="Arial"/>
                <w:i w:val="0"/>
                <w:iCs w:val="0"/>
                <w:snapToGrid w:val="0"/>
                <w:color w:val="000000"/>
                <w:kern w:val="0"/>
                <w:sz w:val="21"/>
                <w:szCs w:val="21"/>
                <w:u w:val="none"/>
                <w:lang w:val="en-US" w:eastAsia="zh-CN" w:bidi="ar"/>
              </w:rPr>
              <w:t>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1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eastAsia="宋体" w:cs="Arial"/>
                <w:i w:val="0"/>
                <w:iCs w:val="0"/>
                <w:snapToGrid w:val="0"/>
                <w:color w:val="000000"/>
                <w:kern w:val="0"/>
                <w:sz w:val="21"/>
                <w:szCs w:val="21"/>
                <w:u w:val="none"/>
                <w:lang w:val="en-US" w:eastAsia="zh-CN" w:bidi="ar"/>
              </w:rPr>
              <w:t>0</w:t>
            </w:r>
            <w:r>
              <w:rPr>
                <w:rFonts w:hint="default" w:ascii="Arial" w:hAnsi="Arial" w:eastAsia="宋体" w:cs="Arial"/>
                <w:i w:val="0"/>
                <w:iCs w:val="0"/>
                <w:snapToGrid w:val="0"/>
                <w:color w:val="000000"/>
                <w:kern w:val="0"/>
                <w:sz w:val="21"/>
                <w:szCs w:val="21"/>
                <w:u w:val="none"/>
                <w:lang w:val="en-US" w:eastAsia="zh-CN" w:bidi="ar"/>
              </w:rPr>
              <w:t>0002</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带肋钢筋</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default" w:ascii="Arial" w:hAnsi="Arial" w:eastAsia="宋体" w:cs="Arial"/>
                <w:i w:val="0"/>
                <w:iCs w:val="0"/>
                <w:snapToGrid w:val="0"/>
                <w:color w:val="000000"/>
                <w:kern w:val="0"/>
                <w:sz w:val="21"/>
                <w:szCs w:val="21"/>
                <w:u w:val="none"/>
                <w:lang w:val="en-US" w:eastAsia="zh-CN" w:bidi="ar"/>
              </w:rPr>
              <w:t>kg</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带肋钢筋</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造价信息法</w:t>
            </w:r>
          </w:p>
        </w:tc>
        <w:tc>
          <w:tcPr>
            <w:tcW w:w="1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eastAsia="zh-CN"/>
              </w:rPr>
            </w:pPr>
            <w:r>
              <w:rPr>
                <w:rFonts w:hint="default" w:ascii="Arial" w:hAnsi="Arial" w:eastAsia="宋体" w:cs="Arial"/>
                <w:i w:val="0"/>
                <w:iCs w:val="0"/>
                <w:snapToGrid w:val="0"/>
                <w:color w:val="000000"/>
                <w:kern w:val="0"/>
                <w:sz w:val="21"/>
                <w:szCs w:val="21"/>
                <w:u w:val="none"/>
                <w:lang w:val="en-US" w:eastAsia="zh-CN" w:bidi="ar"/>
              </w:rPr>
              <w:t>4.</w:t>
            </w:r>
            <w:r>
              <w:rPr>
                <w:rFonts w:hint="eastAsia" w:eastAsia="宋体" w:cs="Arial"/>
                <w:i w:val="0"/>
                <w:iCs w:val="0"/>
                <w:snapToGrid w:val="0"/>
                <w:color w:val="000000"/>
                <w:kern w:val="0"/>
                <w:sz w:val="21"/>
                <w:szCs w:val="21"/>
                <w:u w:val="none"/>
                <w:lang w:val="en-US" w:eastAsia="zh-CN" w:bidi="ar"/>
              </w:rPr>
              <w:t>5</w:t>
            </w:r>
          </w:p>
        </w:tc>
        <w:tc>
          <w:tcPr>
            <w:tcW w:w="1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eastAsia="zh-CN"/>
              </w:rPr>
            </w:pPr>
            <w:r>
              <w:rPr>
                <w:rFonts w:hint="default" w:ascii="Arial" w:hAnsi="Arial" w:eastAsia="宋体" w:cs="Arial"/>
                <w:i w:val="0"/>
                <w:iCs w:val="0"/>
                <w:snapToGrid w:val="0"/>
                <w:color w:val="000000"/>
                <w:kern w:val="0"/>
                <w:sz w:val="21"/>
                <w:szCs w:val="21"/>
                <w:u w:val="none"/>
                <w:lang w:val="en-US" w:eastAsia="zh-CN" w:bidi="ar"/>
              </w:rPr>
              <w:t>6.</w:t>
            </w:r>
            <w:r>
              <w:rPr>
                <w:rFonts w:hint="eastAsia" w:eastAsia="宋体" w:cs="Arial"/>
                <w:i w:val="0"/>
                <w:iCs w:val="0"/>
                <w:snapToGrid w:val="0"/>
                <w:color w:val="000000"/>
                <w:kern w:val="0"/>
                <w:sz w:val="21"/>
                <w:szCs w:val="21"/>
                <w:u w:val="none"/>
                <w:lang w:val="en-US" w:eastAsia="zh-CN" w:bidi="ar"/>
              </w:rPr>
              <w:t>3</w:t>
            </w: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eastAsia="宋体" w:cs="Arial"/>
                <w:i w:val="0"/>
                <w:iCs w:val="0"/>
                <w:snapToGrid w:val="0"/>
                <w:color w:val="000000"/>
                <w:kern w:val="0"/>
                <w:sz w:val="21"/>
                <w:szCs w:val="21"/>
                <w:u w:val="none"/>
                <w:lang w:val="en-US" w:eastAsia="zh-CN" w:bidi="ar"/>
              </w:rPr>
              <w:t>2021</w:t>
            </w:r>
            <w:r>
              <w:rPr>
                <w:rFonts w:hint="default" w:ascii="Arial" w:hAnsi="Arial" w:eastAsia="宋体" w:cs="Arial"/>
                <w:i w:val="0"/>
                <w:iCs w:val="0"/>
                <w:snapToGrid w:val="0"/>
                <w:color w:val="000000"/>
                <w:kern w:val="0"/>
                <w:sz w:val="21"/>
                <w:szCs w:val="21"/>
                <w:u w:val="none"/>
                <w:lang w:val="en-US" w:eastAsia="zh-CN" w:bidi="ar"/>
              </w:rPr>
              <w:t>年</w:t>
            </w:r>
            <w:r>
              <w:rPr>
                <w:rFonts w:hint="eastAsia" w:eastAsia="宋体" w:cs="Arial"/>
                <w:i w:val="0"/>
                <w:iCs w:val="0"/>
                <w:snapToGrid w:val="0"/>
                <w:color w:val="000000"/>
                <w:kern w:val="0"/>
                <w:sz w:val="21"/>
                <w:szCs w:val="21"/>
                <w:u w:val="none"/>
                <w:lang w:val="en-US" w:eastAsia="zh-CN" w:bidi="ar"/>
              </w:rPr>
              <w:t>4</w:t>
            </w:r>
            <w:r>
              <w:rPr>
                <w:rFonts w:hint="default" w:ascii="Arial" w:hAnsi="Arial" w:eastAsia="宋体" w:cs="Arial"/>
                <w:i w:val="0"/>
                <w:iCs w:val="0"/>
                <w:snapToGrid w:val="0"/>
                <w:color w:val="000000"/>
                <w:kern w:val="0"/>
                <w:sz w:val="21"/>
                <w:szCs w:val="21"/>
                <w:u w:val="none"/>
                <w:lang w:val="en-US" w:eastAsia="zh-CN" w:bidi="ar"/>
              </w:rPr>
              <w:t>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trPr>
        <w:tc>
          <w:tcPr>
            <w:tcW w:w="1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eastAsia="宋体" w:cs="Arial"/>
                <w:i w:val="0"/>
                <w:iCs w:val="0"/>
                <w:snapToGrid w:val="0"/>
                <w:color w:val="000000"/>
                <w:kern w:val="0"/>
                <w:sz w:val="21"/>
                <w:szCs w:val="21"/>
                <w:u w:val="none"/>
                <w:lang w:val="en-US" w:eastAsia="zh-CN" w:bidi="ar"/>
              </w:rPr>
              <w:t>0</w:t>
            </w:r>
            <w:r>
              <w:rPr>
                <w:rFonts w:hint="default" w:ascii="Arial" w:hAnsi="Arial" w:eastAsia="宋体" w:cs="Arial"/>
                <w:i w:val="0"/>
                <w:iCs w:val="0"/>
                <w:snapToGrid w:val="0"/>
                <w:color w:val="000000"/>
                <w:kern w:val="0"/>
                <w:sz w:val="21"/>
                <w:szCs w:val="21"/>
                <w:u w:val="none"/>
                <w:lang w:val="en-US" w:eastAsia="zh-CN" w:bidi="ar"/>
              </w:rPr>
              <w:t>0003</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default" w:ascii="Arial" w:hAnsi="Arial" w:eastAsia="宋体" w:cs="Arial"/>
                <w:i w:val="0"/>
                <w:iCs w:val="0"/>
                <w:snapToGrid w:val="0"/>
                <w:color w:val="000000"/>
                <w:kern w:val="0"/>
                <w:sz w:val="21"/>
                <w:szCs w:val="21"/>
                <w:u w:val="none"/>
                <w:lang w:val="en-US" w:eastAsia="zh-CN" w:bidi="ar"/>
              </w:rPr>
              <w:t>32.5</w:t>
            </w:r>
            <w:r>
              <w:rPr>
                <w:rFonts w:hint="eastAsia" w:ascii="宋体" w:hAnsi="宋体" w:eastAsia="宋体" w:cs="宋体"/>
                <w:i w:val="0"/>
                <w:iCs w:val="0"/>
                <w:snapToGrid w:val="0"/>
                <w:color w:val="000000"/>
                <w:kern w:val="0"/>
                <w:sz w:val="21"/>
                <w:szCs w:val="21"/>
                <w:u w:val="none"/>
                <w:lang w:val="en-US" w:eastAsia="zh-CN" w:bidi="ar"/>
              </w:rPr>
              <w:t>水泥</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default" w:ascii="Arial" w:hAnsi="Arial" w:eastAsia="宋体" w:cs="Arial"/>
                <w:i w:val="0"/>
                <w:iCs w:val="0"/>
                <w:snapToGrid w:val="0"/>
                <w:color w:val="000000"/>
                <w:kern w:val="0"/>
                <w:sz w:val="21"/>
                <w:szCs w:val="21"/>
                <w:u w:val="none"/>
                <w:lang w:val="en-US" w:eastAsia="zh-CN" w:bidi="ar"/>
              </w:rPr>
              <w:t>t</w:t>
            </w:r>
          </w:p>
        </w:tc>
        <w:tc>
          <w:tcPr>
            <w:tcW w:w="2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Arial" w:hAnsi="Arial" w:eastAsia="宋体" w:cs="Arial"/>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水泥</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造价信息法</w:t>
            </w:r>
          </w:p>
        </w:tc>
        <w:tc>
          <w:tcPr>
            <w:tcW w:w="1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eastAsia="zh-CN"/>
              </w:rPr>
            </w:pPr>
            <w:r>
              <w:rPr>
                <w:rFonts w:hint="default" w:ascii="Arial" w:hAnsi="Arial" w:eastAsia="宋体" w:cs="Arial"/>
                <w:i w:val="0"/>
                <w:iCs w:val="0"/>
                <w:snapToGrid w:val="0"/>
                <w:color w:val="000000"/>
                <w:kern w:val="0"/>
                <w:sz w:val="21"/>
                <w:szCs w:val="21"/>
                <w:u w:val="none"/>
                <w:lang w:val="en-US" w:eastAsia="zh-CN" w:bidi="ar"/>
              </w:rPr>
              <w:t>45</w:t>
            </w:r>
            <w:r>
              <w:rPr>
                <w:rFonts w:hint="eastAsia" w:eastAsia="宋体" w:cs="Arial"/>
                <w:i w:val="0"/>
                <w:iCs w:val="0"/>
                <w:snapToGrid w:val="0"/>
                <w:color w:val="000000"/>
                <w:kern w:val="0"/>
                <w:sz w:val="21"/>
                <w:szCs w:val="21"/>
                <w:u w:val="none"/>
                <w:lang w:val="en-US" w:eastAsia="zh-CN" w:bidi="ar"/>
              </w:rPr>
              <w:t>2</w:t>
            </w:r>
          </w:p>
        </w:tc>
        <w:tc>
          <w:tcPr>
            <w:tcW w:w="1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eastAsia="zh-CN"/>
              </w:rPr>
            </w:pPr>
            <w:r>
              <w:rPr>
                <w:rFonts w:hint="default" w:ascii="Arial" w:hAnsi="Arial" w:eastAsia="宋体" w:cs="Arial"/>
                <w:i w:val="0"/>
                <w:iCs w:val="0"/>
                <w:snapToGrid w:val="0"/>
                <w:color w:val="000000"/>
                <w:kern w:val="0"/>
                <w:sz w:val="21"/>
                <w:szCs w:val="21"/>
                <w:u w:val="none"/>
                <w:lang w:val="en-US" w:eastAsia="zh-CN" w:bidi="ar"/>
              </w:rPr>
              <w:t>51</w:t>
            </w:r>
            <w:r>
              <w:rPr>
                <w:rFonts w:hint="eastAsia" w:eastAsia="宋体" w:cs="Arial"/>
                <w:i w:val="0"/>
                <w:iCs w:val="0"/>
                <w:snapToGrid w:val="0"/>
                <w:color w:val="000000"/>
                <w:kern w:val="0"/>
                <w:sz w:val="21"/>
                <w:szCs w:val="21"/>
                <w:u w:val="none"/>
                <w:lang w:val="en-US" w:eastAsia="zh-CN" w:bidi="ar"/>
              </w:rPr>
              <w:t>3</w:t>
            </w: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eastAsia="宋体" w:cs="Arial"/>
                <w:i w:val="0"/>
                <w:iCs w:val="0"/>
                <w:snapToGrid w:val="0"/>
                <w:color w:val="000000"/>
                <w:kern w:val="0"/>
                <w:sz w:val="21"/>
                <w:szCs w:val="21"/>
                <w:u w:val="none"/>
                <w:lang w:val="en-US" w:eastAsia="zh-CN" w:bidi="ar"/>
              </w:rPr>
              <w:t>2021</w:t>
            </w:r>
            <w:r>
              <w:rPr>
                <w:rFonts w:hint="default" w:ascii="Arial" w:hAnsi="Arial" w:eastAsia="宋体" w:cs="Arial"/>
                <w:i w:val="0"/>
                <w:iCs w:val="0"/>
                <w:snapToGrid w:val="0"/>
                <w:color w:val="000000"/>
                <w:kern w:val="0"/>
                <w:sz w:val="21"/>
                <w:szCs w:val="21"/>
                <w:u w:val="none"/>
                <w:lang w:val="en-US" w:eastAsia="zh-CN" w:bidi="ar"/>
              </w:rPr>
              <w:t>年</w:t>
            </w:r>
            <w:r>
              <w:rPr>
                <w:rFonts w:hint="eastAsia" w:eastAsia="宋体" w:cs="Arial"/>
                <w:i w:val="0"/>
                <w:iCs w:val="0"/>
                <w:snapToGrid w:val="0"/>
                <w:color w:val="000000"/>
                <w:kern w:val="0"/>
                <w:sz w:val="21"/>
                <w:szCs w:val="21"/>
                <w:u w:val="none"/>
                <w:lang w:val="en-US" w:eastAsia="zh-CN" w:bidi="ar"/>
              </w:rPr>
              <w:t>4</w:t>
            </w:r>
            <w:r>
              <w:rPr>
                <w:rFonts w:hint="default" w:ascii="Arial" w:hAnsi="Arial" w:eastAsia="宋体" w:cs="Arial"/>
                <w:i w:val="0"/>
                <w:iCs w:val="0"/>
                <w:snapToGrid w:val="0"/>
                <w:color w:val="000000"/>
                <w:kern w:val="0"/>
                <w:sz w:val="21"/>
                <w:szCs w:val="21"/>
                <w:u w:val="none"/>
                <w:lang w:val="en-US" w:eastAsia="zh-CN" w:bidi="ar"/>
              </w:rPr>
              <w:t>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1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eastAsia="宋体" w:cs="Arial"/>
                <w:i w:val="0"/>
                <w:iCs w:val="0"/>
                <w:snapToGrid w:val="0"/>
                <w:color w:val="000000"/>
                <w:kern w:val="0"/>
                <w:sz w:val="21"/>
                <w:szCs w:val="21"/>
                <w:u w:val="none"/>
                <w:lang w:val="en-US" w:eastAsia="zh-CN" w:bidi="ar"/>
              </w:rPr>
              <w:t>0</w:t>
            </w:r>
            <w:r>
              <w:rPr>
                <w:rFonts w:hint="default" w:ascii="Arial" w:hAnsi="Arial" w:eastAsia="宋体" w:cs="Arial"/>
                <w:i w:val="0"/>
                <w:iCs w:val="0"/>
                <w:snapToGrid w:val="0"/>
                <w:color w:val="000000"/>
                <w:kern w:val="0"/>
                <w:sz w:val="21"/>
                <w:szCs w:val="21"/>
                <w:u w:val="none"/>
                <w:lang w:val="en-US" w:eastAsia="zh-CN" w:bidi="ar"/>
              </w:rPr>
              <w:t>0004</w:t>
            </w:r>
          </w:p>
        </w:tc>
        <w:tc>
          <w:tcPr>
            <w:tcW w:w="18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中粗砂</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default" w:ascii="Arial" w:hAnsi="Arial" w:eastAsia="宋体" w:cs="Arial"/>
                <w:i w:val="0"/>
                <w:iCs w:val="0"/>
                <w:snapToGrid w:val="0"/>
                <w:color w:val="000000"/>
                <w:kern w:val="0"/>
                <w:sz w:val="21"/>
                <w:szCs w:val="21"/>
                <w:u w:val="none"/>
                <w:lang w:val="en-US" w:eastAsia="zh-CN" w:bidi="ar"/>
              </w:rPr>
              <w:t>m3</w:t>
            </w:r>
          </w:p>
        </w:tc>
        <w:tc>
          <w:tcPr>
            <w:tcW w:w="2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eastAsia="宋体" w:cs="Arial"/>
                <w:i w:val="0"/>
                <w:iCs w:val="0"/>
                <w:color w:val="000000"/>
                <w:sz w:val="21"/>
                <w:szCs w:val="21"/>
                <w:u w:val="none"/>
                <w:lang w:val="en-US" w:eastAsia="zh-CN"/>
              </w:rPr>
              <w:t>地材</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造价信息法</w:t>
            </w:r>
          </w:p>
        </w:tc>
        <w:tc>
          <w:tcPr>
            <w:tcW w:w="1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eastAsia="zh-CN"/>
              </w:rPr>
            </w:pPr>
            <w:r>
              <w:rPr>
                <w:rFonts w:hint="default" w:ascii="Arial" w:hAnsi="Arial" w:eastAsia="宋体" w:cs="Arial"/>
                <w:i w:val="0"/>
                <w:iCs w:val="0"/>
                <w:snapToGrid w:val="0"/>
                <w:color w:val="000000"/>
                <w:kern w:val="0"/>
                <w:sz w:val="21"/>
                <w:szCs w:val="21"/>
                <w:u w:val="none"/>
                <w:lang w:val="en-US" w:eastAsia="zh-CN" w:bidi="ar"/>
              </w:rPr>
              <w:t>236</w:t>
            </w:r>
          </w:p>
        </w:tc>
        <w:tc>
          <w:tcPr>
            <w:tcW w:w="1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eastAsia="zh-CN"/>
              </w:rPr>
            </w:pPr>
            <w:r>
              <w:rPr>
                <w:rFonts w:hint="default" w:ascii="Arial" w:hAnsi="Arial" w:eastAsia="宋体" w:cs="Arial"/>
                <w:i w:val="0"/>
                <w:iCs w:val="0"/>
                <w:snapToGrid w:val="0"/>
                <w:color w:val="000000"/>
                <w:kern w:val="0"/>
                <w:sz w:val="21"/>
                <w:szCs w:val="21"/>
                <w:u w:val="none"/>
                <w:lang w:val="en-US" w:eastAsia="zh-CN" w:bidi="ar"/>
              </w:rPr>
              <w:t>268</w:t>
            </w: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eastAsia="宋体" w:cs="Arial"/>
                <w:i w:val="0"/>
                <w:iCs w:val="0"/>
                <w:snapToGrid w:val="0"/>
                <w:color w:val="000000"/>
                <w:kern w:val="0"/>
                <w:sz w:val="21"/>
                <w:szCs w:val="21"/>
                <w:u w:val="none"/>
                <w:lang w:val="en-US" w:eastAsia="zh-CN" w:bidi="ar"/>
              </w:rPr>
              <w:t>2021</w:t>
            </w:r>
            <w:r>
              <w:rPr>
                <w:rFonts w:hint="default" w:ascii="Arial" w:hAnsi="Arial" w:eastAsia="宋体" w:cs="Arial"/>
                <w:i w:val="0"/>
                <w:iCs w:val="0"/>
                <w:snapToGrid w:val="0"/>
                <w:color w:val="000000"/>
                <w:kern w:val="0"/>
                <w:sz w:val="21"/>
                <w:szCs w:val="21"/>
                <w:u w:val="none"/>
                <w:lang w:val="en-US" w:eastAsia="zh-CN" w:bidi="ar"/>
              </w:rPr>
              <w:t>年</w:t>
            </w:r>
            <w:r>
              <w:rPr>
                <w:rFonts w:hint="eastAsia" w:eastAsia="宋体" w:cs="Arial"/>
                <w:i w:val="0"/>
                <w:iCs w:val="0"/>
                <w:snapToGrid w:val="0"/>
                <w:color w:val="000000"/>
                <w:kern w:val="0"/>
                <w:sz w:val="21"/>
                <w:szCs w:val="21"/>
                <w:u w:val="none"/>
                <w:lang w:val="en-US" w:eastAsia="zh-CN" w:bidi="ar"/>
              </w:rPr>
              <w:t>4</w:t>
            </w:r>
            <w:r>
              <w:rPr>
                <w:rFonts w:hint="default" w:ascii="Arial" w:hAnsi="Arial" w:eastAsia="宋体" w:cs="Arial"/>
                <w:i w:val="0"/>
                <w:iCs w:val="0"/>
                <w:snapToGrid w:val="0"/>
                <w:color w:val="000000"/>
                <w:kern w:val="0"/>
                <w:sz w:val="21"/>
                <w:szCs w:val="21"/>
                <w:u w:val="none"/>
                <w:lang w:val="en-US" w:eastAsia="zh-CN" w:bidi="ar"/>
              </w:rPr>
              <w:t>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trPr>
        <w:tc>
          <w:tcPr>
            <w:tcW w:w="1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eastAsia="宋体" w:cs="Arial"/>
                <w:i w:val="0"/>
                <w:iCs w:val="0"/>
                <w:snapToGrid w:val="0"/>
                <w:color w:val="000000"/>
                <w:kern w:val="0"/>
                <w:sz w:val="21"/>
                <w:szCs w:val="21"/>
                <w:u w:val="none"/>
                <w:lang w:val="en-US" w:eastAsia="zh-CN" w:bidi="ar"/>
              </w:rPr>
              <w:t>0</w:t>
            </w:r>
            <w:r>
              <w:rPr>
                <w:rFonts w:hint="default" w:ascii="Arial" w:hAnsi="Arial" w:eastAsia="宋体" w:cs="Arial"/>
                <w:i w:val="0"/>
                <w:iCs w:val="0"/>
                <w:snapToGrid w:val="0"/>
                <w:color w:val="000000"/>
                <w:kern w:val="0"/>
                <w:sz w:val="21"/>
                <w:szCs w:val="21"/>
                <w:u w:val="none"/>
                <w:lang w:val="en-US" w:eastAsia="zh-CN" w:bidi="ar"/>
              </w:rPr>
              <w:t>0005</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碎石</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default" w:ascii="Arial" w:hAnsi="Arial" w:eastAsia="宋体" w:cs="Arial"/>
                <w:i w:val="0"/>
                <w:iCs w:val="0"/>
                <w:snapToGrid w:val="0"/>
                <w:color w:val="000000"/>
                <w:kern w:val="0"/>
                <w:sz w:val="21"/>
                <w:szCs w:val="21"/>
                <w:u w:val="none"/>
                <w:lang w:val="en-US" w:eastAsia="zh-CN" w:bidi="ar"/>
              </w:rPr>
              <w:t>m3</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eastAsia="宋体" w:cs="Arial"/>
                <w:i w:val="0"/>
                <w:iCs w:val="0"/>
                <w:color w:val="000000"/>
                <w:sz w:val="21"/>
                <w:szCs w:val="21"/>
                <w:u w:val="none"/>
                <w:lang w:val="en-US" w:eastAsia="zh-CN"/>
              </w:rPr>
              <w:t>地材</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造价信息法</w:t>
            </w:r>
          </w:p>
        </w:tc>
        <w:tc>
          <w:tcPr>
            <w:tcW w:w="1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eastAsia="zh-CN"/>
              </w:rPr>
            </w:pPr>
            <w:r>
              <w:rPr>
                <w:rFonts w:hint="default" w:ascii="Arial" w:hAnsi="Arial" w:eastAsia="宋体" w:cs="Arial"/>
                <w:i w:val="0"/>
                <w:iCs w:val="0"/>
                <w:snapToGrid w:val="0"/>
                <w:color w:val="000000"/>
                <w:kern w:val="0"/>
                <w:sz w:val="21"/>
                <w:szCs w:val="21"/>
                <w:u w:val="none"/>
                <w:lang w:val="en-US" w:eastAsia="zh-CN" w:bidi="ar"/>
              </w:rPr>
              <w:t>183</w:t>
            </w:r>
          </w:p>
        </w:tc>
        <w:tc>
          <w:tcPr>
            <w:tcW w:w="1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eastAsia="zh-CN"/>
              </w:rPr>
            </w:pPr>
            <w:r>
              <w:rPr>
                <w:rFonts w:hint="default" w:ascii="Arial" w:hAnsi="Arial" w:eastAsia="宋体" w:cs="Arial"/>
                <w:i w:val="0"/>
                <w:iCs w:val="0"/>
                <w:snapToGrid w:val="0"/>
                <w:color w:val="000000"/>
                <w:kern w:val="0"/>
                <w:sz w:val="21"/>
                <w:szCs w:val="21"/>
                <w:u w:val="none"/>
                <w:lang w:val="en-US" w:eastAsia="zh-CN" w:bidi="ar"/>
              </w:rPr>
              <w:t>215</w:t>
            </w: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eastAsia="宋体" w:cs="Arial"/>
                <w:i w:val="0"/>
                <w:iCs w:val="0"/>
                <w:snapToGrid w:val="0"/>
                <w:color w:val="000000"/>
                <w:kern w:val="0"/>
                <w:sz w:val="21"/>
                <w:szCs w:val="21"/>
                <w:u w:val="none"/>
                <w:lang w:val="en-US" w:eastAsia="zh-CN" w:bidi="ar"/>
              </w:rPr>
              <w:t>2021</w:t>
            </w:r>
            <w:r>
              <w:rPr>
                <w:rFonts w:hint="default" w:ascii="Arial" w:hAnsi="Arial" w:eastAsia="宋体" w:cs="Arial"/>
                <w:i w:val="0"/>
                <w:iCs w:val="0"/>
                <w:snapToGrid w:val="0"/>
                <w:color w:val="000000"/>
                <w:kern w:val="0"/>
                <w:sz w:val="21"/>
                <w:szCs w:val="21"/>
                <w:u w:val="none"/>
                <w:lang w:val="en-US" w:eastAsia="zh-CN" w:bidi="ar"/>
              </w:rPr>
              <w:t>年</w:t>
            </w:r>
            <w:r>
              <w:rPr>
                <w:rFonts w:hint="eastAsia" w:eastAsia="宋体" w:cs="Arial"/>
                <w:i w:val="0"/>
                <w:iCs w:val="0"/>
                <w:snapToGrid w:val="0"/>
                <w:color w:val="000000"/>
                <w:kern w:val="0"/>
                <w:sz w:val="21"/>
                <w:szCs w:val="21"/>
                <w:u w:val="none"/>
                <w:lang w:val="en-US" w:eastAsia="zh-CN" w:bidi="ar"/>
              </w:rPr>
              <w:t>4</w:t>
            </w:r>
            <w:r>
              <w:rPr>
                <w:rFonts w:hint="default" w:ascii="Arial" w:hAnsi="Arial" w:eastAsia="宋体" w:cs="Arial"/>
                <w:i w:val="0"/>
                <w:iCs w:val="0"/>
                <w:snapToGrid w:val="0"/>
                <w:color w:val="000000"/>
                <w:kern w:val="0"/>
                <w:sz w:val="21"/>
                <w:szCs w:val="21"/>
                <w:u w:val="none"/>
                <w:lang w:val="en-US" w:eastAsia="zh-CN" w:bidi="ar"/>
              </w:rPr>
              <w:t>月</w:t>
            </w:r>
          </w:p>
        </w:tc>
      </w:tr>
    </w:tbl>
    <w:p>
      <w:pPr>
        <w:rPr>
          <w:rFonts w:hint="eastAsia"/>
          <w:lang w:val="en-US" w:eastAsia="zh-CN"/>
        </w:rPr>
      </w:pPr>
      <w:r>
        <w:rPr>
          <w:rFonts w:hint="eastAsia" w:ascii="宋体" w:hAnsi="宋体" w:eastAsia="宋体" w:cs="宋体"/>
          <w:spacing w:val="14"/>
          <w:sz w:val="24"/>
          <w:szCs w:val="24"/>
          <w:lang w:val="en-US" w:eastAsia="zh-CN"/>
        </w:rPr>
        <w:t>（3）根据上述资料，完成材料调差金额计算及计量支付</w:t>
      </w:r>
      <w:r>
        <w:rPr>
          <w:rFonts w:hint="default" w:ascii="宋体" w:hAnsi="宋体" w:eastAsia="宋体" w:cs="宋体"/>
          <w:spacing w:val="14"/>
          <w:sz w:val="24"/>
          <w:szCs w:val="24"/>
          <w:lang w:val="en-US" w:eastAsia="zh-CN"/>
        </w:rPr>
        <w:t>。</w:t>
      </w:r>
    </w:p>
    <w:p>
      <w:pPr>
        <w:spacing w:before="75" w:line="402" w:lineRule="auto"/>
        <w:rPr>
          <w:rFonts w:ascii="Arial"/>
          <w:sz w:val="21"/>
        </w:rPr>
        <w:sectPr>
          <w:headerReference r:id="rId14" w:type="default"/>
          <w:footerReference r:id="rId15" w:type="default"/>
          <w:pgSz w:w="16839" w:h="11906" w:orient="landscape"/>
          <w:pgMar w:top="1089" w:right="400" w:bottom="1088" w:left="1156" w:header="0" w:footer="996" w:gutter="0"/>
          <w:pgNumType w:fmt="decimal"/>
          <w:cols w:space="720" w:num="1"/>
        </w:sectPr>
      </w:pPr>
    </w:p>
    <w:p>
      <w:pPr>
        <w:pStyle w:val="2"/>
        <w:numPr>
          <w:ilvl w:val="0"/>
          <w:numId w:val="0"/>
        </w:numPr>
        <w:bidi w:val="0"/>
        <w:rPr>
          <w:rFonts w:hint="eastAsia"/>
          <w:lang w:eastAsia="zh-CN"/>
        </w:rPr>
      </w:pPr>
      <w:r>
        <w:rPr>
          <w:rFonts w:hint="eastAsia"/>
          <w:lang w:val="en-US" w:eastAsia="zh-CN"/>
        </w:rPr>
        <w:t>七、</w:t>
      </w:r>
      <w:r>
        <w:rPr>
          <w:rFonts w:hint="eastAsia"/>
          <w:lang w:eastAsia="zh-CN"/>
        </w:rPr>
        <w:t>本期计量完成统计表</w:t>
      </w:r>
      <w:bookmarkEnd w:id="645"/>
      <w:r>
        <w:rPr>
          <w:rFonts w:hint="eastAsia"/>
          <w:highlight w:val="yellow"/>
          <w:lang w:eastAsia="zh-CN"/>
        </w:rPr>
        <w:t>（</w:t>
      </w:r>
      <w:r>
        <w:rPr>
          <w:rFonts w:hint="eastAsia"/>
          <w:highlight w:val="yellow"/>
          <w:lang w:val="en-US" w:eastAsia="zh-CN"/>
        </w:rPr>
        <w:t>预付款计量周期：2021年3月；实体计量周期：2021年4月</w:t>
      </w:r>
      <w:r>
        <w:rPr>
          <w:rFonts w:hint="eastAsia"/>
          <w:highlight w:val="yellow"/>
          <w:lang w:eastAsia="zh-CN"/>
        </w:rPr>
        <w:t>）</w:t>
      </w:r>
    </w:p>
    <w:tbl>
      <w:tblPr>
        <w:tblStyle w:val="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9"/>
        <w:gridCol w:w="1065"/>
        <w:gridCol w:w="1418"/>
        <w:gridCol w:w="697"/>
        <w:gridCol w:w="1530"/>
        <w:gridCol w:w="885"/>
        <w:gridCol w:w="720"/>
        <w:gridCol w:w="1350"/>
        <w:gridCol w:w="855"/>
        <w:gridCol w:w="1185"/>
        <w:gridCol w:w="4441"/>
        <w:gridCol w:w="6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5" w:hRule="atLeast"/>
          <w:tblHeader/>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000000"/>
                <w:kern w:val="0"/>
                <w:sz w:val="21"/>
                <w:szCs w:val="21"/>
                <w:u w:val="none"/>
                <w:lang w:val="en-US" w:eastAsia="zh-CN" w:bidi="ar"/>
              </w:rPr>
              <w:t>本期计量完成统计表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5" w:hRule="atLeast"/>
          <w:tblHeader/>
        </w:trPr>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000000"/>
                <w:kern w:val="0"/>
                <w:sz w:val="21"/>
                <w:szCs w:val="21"/>
                <w:u w:val="none"/>
                <w:lang w:val="en-US" w:eastAsia="zh-CN" w:bidi="ar"/>
              </w:rPr>
              <w:t>序号</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000000"/>
                <w:kern w:val="0"/>
                <w:sz w:val="21"/>
                <w:szCs w:val="21"/>
                <w:u w:val="none"/>
                <w:lang w:val="en-US" w:eastAsia="zh-CN" w:bidi="ar"/>
              </w:rPr>
              <w:t>细目编号</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000000"/>
                <w:kern w:val="0"/>
                <w:sz w:val="21"/>
                <w:szCs w:val="21"/>
                <w:u w:val="none"/>
                <w:lang w:val="en-US" w:eastAsia="zh-CN" w:bidi="ar"/>
              </w:rPr>
              <w:t>细目名称</w:t>
            </w: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000000"/>
                <w:kern w:val="0"/>
                <w:sz w:val="21"/>
                <w:szCs w:val="21"/>
                <w:u w:val="none"/>
                <w:lang w:val="en-US" w:eastAsia="zh-CN" w:bidi="ar"/>
              </w:rPr>
              <w:t>单位</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000000"/>
                <w:kern w:val="0"/>
                <w:sz w:val="21"/>
                <w:szCs w:val="21"/>
                <w:u w:val="none"/>
                <w:lang w:val="en-US" w:eastAsia="zh-CN" w:bidi="ar"/>
              </w:rPr>
              <w:t>分项（桩号）</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000000"/>
                <w:kern w:val="0"/>
                <w:sz w:val="21"/>
                <w:szCs w:val="21"/>
                <w:u w:val="none"/>
                <w:lang w:val="en-US" w:eastAsia="zh-CN" w:bidi="ar"/>
              </w:rPr>
              <w:t>部位</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000000"/>
                <w:kern w:val="0"/>
                <w:sz w:val="21"/>
                <w:szCs w:val="21"/>
                <w:u w:val="none"/>
                <w:lang w:val="en-US" w:eastAsia="zh-CN" w:bidi="ar"/>
              </w:rPr>
              <w:t>图号</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000000"/>
                <w:kern w:val="0"/>
                <w:sz w:val="21"/>
                <w:szCs w:val="21"/>
                <w:u w:val="none"/>
                <w:lang w:val="en-US" w:eastAsia="zh-CN" w:bidi="ar"/>
              </w:rPr>
              <w:t>交工证书</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000000"/>
                <w:kern w:val="0"/>
                <w:sz w:val="21"/>
                <w:szCs w:val="21"/>
                <w:u w:val="none"/>
                <w:lang w:val="en-US" w:eastAsia="zh-CN" w:bidi="ar"/>
              </w:rPr>
              <w:t>本期完成量</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000000"/>
                <w:kern w:val="0"/>
                <w:sz w:val="21"/>
                <w:szCs w:val="21"/>
                <w:u w:val="none"/>
                <w:lang w:val="en-US" w:eastAsia="zh-CN" w:bidi="ar"/>
              </w:rPr>
              <w:t>计算式</w:t>
            </w:r>
          </w:p>
        </w:tc>
        <w:tc>
          <w:tcPr>
            <w:tcW w:w="14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000000"/>
                <w:kern w:val="0"/>
                <w:sz w:val="21"/>
                <w:szCs w:val="21"/>
                <w:u w:val="none"/>
                <w:lang w:val="en-US" w:eastAsia="zh-CN" w:bidi="ar"/>
              </w:rPr>
              <w:t>相关附件</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000000"/>
                <w:kern w:val="0"/>
                <w:sz w:val="21"/>
                <w:szCs w:val="21"/>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3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101-1-a</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建筑工程一切险</w:t>
            </w:r>
          </w:p>
        </w:tc>
        <w:tc>
          <w:tcPr>
            <w:tcW w:w="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总额</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保险费</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LMGS-03</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2021072501</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w:t>
            </w:r>
          </w:p>
        </w:tc>
        <w:tc>
          <w:tcPr>
            <w:tcW w:w="14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建筑工程一切险合同</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3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101-1-b</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第三者责任险</w:t>
            </w:r>
          </w:p>
        </w:tc>
        <w:tc>
          <w:tcPr>
            <w:tcW w:w="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总额</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保险费</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LMGS-03</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2021072502</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w:t>
            </w:r>
          </w:p>
        </w:tc>
        <w:tc>
          <w:tcPr>
            <w:tcW w:w="14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保险合同</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w:t>
            </w:r>
          </w:p>
        </w:tc>
        <w:tc>
          <w:tcPr>
            <w:tcW w:w="3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102-3</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安全生产费</w:t>
            </w:r>
          </w:p>
        </w:tc>
        <w:tc>
          <w:tcPr>
            <w:tcW w:w="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总额</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工程管理</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LMGS-03</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2021072503</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0.2</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1*0.2</w:t>
            </w:r>
          </w:p>
        </w:tc>
        <w:tc>
          <w:tcPr>
            <w:tcW w:w="14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snapToGrid w:val="0"/>
                <w:color w:val="000000"/>
                <w:kern w:val="0"/>
                <w:sz w:val="20"/>
                <w:szCs w:val="20"/>
                <w:u w:val="none"/>
                <w:lang w:val="en-US" w:eastAsia="zh-CN" w:bidi="ar"/>
              </w:rPr>
              <w:t>安全生产费发票</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w:t>
            </w:r>
          </w:p>
        </w:tc>
        <w:tc>
          <w:tcPr>
            <w:tcW w:w="3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102-2</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施工环保费</w:t>
            </w:r>
          </w:p>
        </w:tc>
        <w:tc>
          <w:tcPr>
            <w:tcW w:w="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总额</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工程管理</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LMGS-03</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2021072504</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0.4</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1*0.4</w:t>
            </w:r>
          </w:p>
        </w:tc>
        <w:tc>
          <w:tcPr>
            <w:tcW w:w="14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照片</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0" w:hRule="atLeast"/>
        </w:trPr>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w:t>
            </w:r>
          </w:p>
        </w:tc>
        <w:tc>
          <w:tcPr>
            <w:tcW w:w="3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202-2-a</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snapToGrid w:val="0"/>
                <w:color w:val="000000"/>
                <w:kern w:val="0"/>
                <w:sz w:val="20"/>
                <w:szCs w:val="20"/>
                <w:u w:val="none"/>
                <w:lang w:val="en-US" w:eastAsia="zh-CN" w:bidi="ar"/>
              </w:rPr>
              <w:t>挖除旧路面-水泥混凝土路面</w:t>
            </w:r>
          </w:p>
        </w:tc>
        <w:tc>
          <w:tcPr>
            <w:tcW w:w="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m³</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K03+000-K04+000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路面</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2021072505</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150</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100+50</w:t>
            </w:r>
          </w:p>
        </w:tc>
        <w:tc>
          <w:tcPr>
            <w:tcW w:w="14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1、分项工程检验申请和中间交验审批表</w:t>
            </w:r>
            <w:r>
              <w:rPr>
                <w:rStyle w:val="19"/>
                <w:snapToGrid w:val="0"/>
                <w:color w:val="000000"/>
                <w:lang w:val="en-US" w:eastAsia="zh-CN" w:bidi="ar"/>
              </w:rPr>
              <w:br w:type="textWrapping"/>
            </w:r>
            <w:r>
              <w:rPr>
                <w:rStyle w:val="19"/>
                <w:snapToGrid w:val="0"/>
                <w:color w:val="000000"/>
                <w:lang w:val="en-US" w:eastAsia="zh-CN" w:bidi="ar"/>
              </w:rPr>
              <w:t>2、</w:t>
            </w:r>
            <w:r>
              <w:rPr>
                <w:rFonts w:hint="eastAsia" w:ascii="宋体" w:hAnsi="宋体" w:eastAsia="宋体" w:cs="宋体"/>
                <w:i w:val="0"/>
                <w:iCs w:val="0"/>
                <w:snapToGrid w:val="0"/>
                <w:color w:val="000000"/>
                <w:kern w:val="0"/>
                <w:sz w:val="20"/>
                <w:szCs w:val="20"/>
                <w:u w:val="none"/>
                <w:lang w:val="en-US" w:eastAsia="zh-CN" w:bidi="ar"/>
              </w:rPr>
              <w:t>施工放样现场记录表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3、路基填筑前地基清理现场质量检验报告单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4、清表掘除和堆放现场记录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5、断面检测和监理设计认可记录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6、水准仪测量记录表</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trPr>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w:t>
            </w:r>
          </w:p>
        </w:tc>
        <w:tc>
          <w:tcPr>
            <w:tcW w:w="3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202-1-a</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清理现场</w:t>
            </w:r>
          </w:p>
        </w:tc>
        <w:tc>
          <w:tcPr>
            <w:tcW w:w="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m2</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K03+000-K03+500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清理现场</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S2-1-1-1</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2021072506</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17600</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652*27</w:t>
            </w:r>
          </w:p>
        </w:tc>
        <w:tc>
          <w:tcPr>
            <w:tcW w:w="14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1、分项工程检验申请和中间交验审批表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2、施工放样现场记录表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3、路基填筑前地基清理现场质量检验报告单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4、清表掘除和堆放现场记录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5、断面检测和监理设计认可记录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6、水准仪测量记录表</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40" w:hRule="atLeast"/>
        </w:trPr>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w:t>
            </w:r>
          </w:p>
        </w:tc>
        <w:tc>
          <w:tcPr>
            <w:tcW w:w="3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203-1-a</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挖土方</w:t>
            </w:r>
          </w:p>
        </w:tc>
        <w:tc>
          <w:tcPr>
            <w:tcW w:w="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20"/>
                <w:snapToGrid w:val="0"/>
                <w:color w:val="000000"/>
                <w:lang w:val="en-US" w:eastAsia="zh-CN" w:bidi="ar"/>
              </w:rPr>
              <w:t>m</w:t>
            </w:r>
            <w:r>
              <w:rPr>
                <w:rStyle w:val="21"/>
                <w:snapToGrid w:val="0"/>
                <w:color w:val="000000"/>
                <w:lang w:val="en-US" w:eastAsia="zh-CN" w:bidi="ar"/>
              </w:rPr>
              <w:t>3</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K03+500-K03+762</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路基挖方</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S2-1-2-1</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2021072507</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20000</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13000+7000</w:t>
            </w:r>
          </w:p>
        </w:tc>
        <w:tc>
          <w:tcPr>
            <w:tcW w:w="1432" w:type="pct"/>
            <w:tcBorders>
              <w:top w:val="nil"/>
              <w:left w:val="nil"/>
              <w:bottom w:val="nil"/>
              <w:right w:val="nil"/>
            </w:tcBorders>
            <w:shd w:val="clear" w:color="auto" w:fill="auto"/>
            <w:vAlign w:val="center"/>
          </w:tcPr>
          <w:p>
            <w:pPr>
              <w:keepNext w:val="0"/>
              <w:keepLines w:val="0"/>
              <w:widowControl/>
              <w:numPr>
                <w:ilvl w:val="0"/>
                <w:numId w:val="1"/>
              </w:numPr>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土方路基工程现场质量检验报告单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2、分项工程检验申请和中间交验审批表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3、施工放样现场记录表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4、现场核验记录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5、自检现场检测记录表</w:t>
            </w:r>
          </w:p>
          <w:p>
            <w:pPr>
              <w:keepNext w:val="0"/>
              <w:keepLines w:val="0"/>
              <w:widowControl/>
              <w:numPr>
                <w:ilvl w:val="0"/>
                <w:numId w:val="0"/>
              </w:numPr>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6、路基宽度检测表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7、水准仪测量记录表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8、挖方路段施工原始记录</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9、土体沉降、水平位移观察井检测记录</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w:t>
            </w:r>
          </w:p>
        </w:tc>
        <w:tc>
          <w:tcPr>
            <w:tcW w:w="3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204-1-b</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利用土方</w:t>
            </w:r>
          </w:p>
        </w:tc>
        <w:tc>
          <w:tcPr>
            <w:tcW w:w="2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m³</w:t>
            </w:r>
          </w:p>
        </w:tc>
        <w:tc>
          <w:tcPr>
            <w:tcW w:w="49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K03+762-K04+000</w:t>
            </w:r>
          </w:p>
        </w:tc>
        <w:tc>
          <w:tcPr>
            <w:tcW w:w="2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路基填方</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S2-1-3-1</w:t>
            </w:r>
          </w:p>
        </w:tc>
        <w:tc>
          <w:tcPr>
            <w:tcW w:w="4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snapToGrid w:val="0"/>
                <w:color w:val="000000"/>
                <w:kern w:val="0"/>
                <w:sz w:val="20"/>
                <w:szCs w:val="20"/>
                <w:u w:val="none"/>
                <w:lang w:val="en-US" w:eastAsia="zh-CN" w:bidi="ar"/>
              </w:rPr>
              <w:t>2021072508</w:t>
            </w:r>
          </w:p>
        </w:tc>
        <w:tc>
          <w:tcPr>
            <w:tcW w:w="2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55000</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3500+15000+30000+15000+5000</w:t>
            </w:r>
          </w:p>
        </w:tc>
        <w:tc>
          <w:tcPr>
            <w:tcW w:w="14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2"/>
              </w:numPr>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土方路基工程现场质量检验报告单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2、分项工程检验申请和中间交验审批表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3、施工放样现场记录表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4、现场核验记录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5、自检现场检测记录表</w:t>
            </w:r>
          </w:p>
          <w:p>
            <w:pPr>
              <w:keepNext w:val="0"/>
              <w:keepLines w:val="0"/>
              <w:widowControl/>
              <w:numPr>
                <w:ilvl w:val="0"/>
                <w:numId w:val="0"/>
              </w:numPr>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6、路基宽度检测表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7、水准仪测量记录表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8、土方路基填筑工程施工原始记录</w:t>
            </w:r>
          </w:p>
          <w:p>
            <w:pPr>
              <w:keepNext w:val="0"/>
              <w:keepLines w:val="0"/>
              <w:widowControl/>
              <w:numPr>
                <w:ilvl w:val="0"/>
                <w:numId w:val="0"/>
              </w:numPr>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9、路基边坡检测记录</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9</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403-1-a</w:t>
            </w:r>
          </w:p>
          <w:p>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（变更）</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光圆钢筋(HPB300)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Kg</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左线0#台桩基</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兰磨1#大桥</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S4-1-1-1</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20210725109</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-158</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-158</w:t>
            </w:r>
          </w:p>
        </w:tc>
        <w:tc>
          <w:tcPr>
            <w:tcW w:w="4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1、分项工程检验申请和中间交验审批表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2、钢筋安装分项工程质量检验评定表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3、钢筋加工及安装工程现场质量检验报告单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4、施工放样现场记录表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5、现场核验记录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6、桩基钢筋笼加工与安装记录表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7、自检现场检测记录表</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403-1-b</w:t>
            </w:r>
          </w:p>
          <w:p>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（变更）</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带肋钢筋(HRB400)</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Kg</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左线0#台桩基</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兰磨1#大桥</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S4-1-1-1</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20210725110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-436</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-436</w:t>
            </w:r>
          </w:p>
        </w:tc>
        <w:tc>
          <w:tcPr>
            <w:tcW w:w="4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1、分项工程检验申请和中间交验审批表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2、钢筋安装分项工程质量检验评定表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3、钢筋加工及安装工程现场质量检验报告单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4、施工放样现场记录表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5、现场核验记录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6、桩基钢筋笼加工与安装记录表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7、自检现场检测记录表</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11</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405-1-b</w:t>
            </w:r>
          </w:p>
          <w:p>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（变更）</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桩径1.2m</w:t>
            </w:r>
          </w:p>
        </w:tc>
        <w:tc>
          <w:tcPr>
            <w:tcW w:w="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m</w:t>
            </w:r>
          </w:p>
        </w:tc>
        <w:tc>
          <w:tcPr>
            <w:tcW w:w="15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左线0#台桩基</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兰磨1#大桥</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S4-1-1-1</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20210725111</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-6</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-6</w:t>
            </w:r>
          </w:p>
        </w:tc>
        <w:tc>
          <w:tcPr>
            <w:tcW w:w="44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3"/>
              </w:numPr>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中间交工证书</w:t>
            </w:r>
          </w:p>
          <w:p>
            <w:pPr>
              <w:keepNext w:val="0"/>
              <w:keepLines w:val="0"/>
              <w:widowControl/>
              <w:numPr>
                <w:ilvl w:val="0"/>
                <w:numId w:val="3"/>
              </w:numPr>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成桩检查记录表</w:t>
            </w:r>
          </w:p>
          <w:p>
            <w:pPr>
              <w:keepNext w:val="0"/>
              <w:keepLines w:val="0"/>
              <w:widowControl/>
              <w:numPr>
                <w:ilvl w:val="0"/>
                <w:numId w:val="3"/>
              </w:numPr>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施工放样报验单</w:t>
            </w:r>
          </w:p>
          <w:p>
            <w:pPr>
              <w:keepNext w:val="0"/>
              <w:keepLines w:val="0"/>
              <w:widowControl/>
              <w:numPr>
                <w:ilvl w:val="0"/>
                <w:numId w:val="3"/>
              </w:numPr>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钻（挖）孔桩水下砼灌注记录</w:t>
            </w:r>
          </w:p>
          <w:p>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5、桩检报告</w:t>
            </w: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bl>
    <w:p>
      <w:pPr>
        <w:numPr>
          <w:ilvl w:val="0"/>
          <w:numId w:val="0"/>
        </w:numPr>
        <w:kinsoku w:val="0"/>
        <w:autoSpaceDE w:val="0"/>
        <w:autoSpaceDN w:val="0"/>
        <w:adjustRightInd w:val="0"/>
        <w:snapToGrid w:val="0"/>
        <w:spacing w:before="91" w:line="220" w:lineRule="auto"/>
        <w:jc w:val="left"/>
        <w:textAlignment w:val="baseline"/>
        <w:outlineLvl w:val="9"/>
        <w:rPr>
          <w:rFonts w:hint="eastAsia" w:ascii="宋体" w:hAnsi="宋体" w:eastAsia="宋体" w:cs="宋体"/>
          <w:spacing w:val="7"/>
          <w:sz w:val="31"/>
          <w:szCs w:val="31"/>
          <w:lang w:eastAsia="zh-CN"/>
          <w14:textOutline w14:w="5793" w14:cap="sq" w14:cmpd="sng">
            <w14:solidFill>
              <w14:srgbClr w14:val="000000"/>
            </w14:solidFill>
            <w14:prstDash w14:val="solid"/>
            <w14:bevel/>
          </w14:textOutline>
        </w:rPr>
        <w:sectPr>
          <w:pgSz w:w="16839" w:h="11906" w:orient="landscape"/>
          <w:pgMar w:top="1089" w:right="400" w:bottom="1015" w:left="1156" w:header="0" w:footer="996" w:gutter="0"/>
          <w:pgNumType w:fmt="decimal"/>
          <w:cols w:space="720" w:num="1"/>
        </w:sectPr>
      </w:pPr>
    </w:p>
    <w:p>
      <w:pPr>
        <w:pStyle w:val="2"/>
        <w:numPr>
          <w:ilvl w:val="0"/>
          <w:numId w:val="0"/>
        </w:numPr>
        <w:bidi w:val="0"/>
        <w:rPr>
          <w:rFonts w:hint="eastAsia"/>
          <w:lang w:eastAsia="zh-CN"/>
        </w:rPr>
      </w:pPr>
      <w:bookmarkStart w:id="646" w:name="_Toc11077"/>
      <w:r>
        <w:rPr>
          <w:rFonts w:hint="eastAsia"/>
          <w:lang w:val="en-US" w:eastAsia="zh-CN"/>
        </w:rPr>
        <w:t>八、</w:t>
      </w:r>
      <w:r>
        <w:rPr>
          <w:rFonts w:hint="eastAsia"/>
          <w:lang w:eastAsia="zh-CN"/>
        </w:rPr>
        <w:t>附件资料</w:t>
      </w:r>
      <w:bookmarkEnd w:id="646"/>
    </w:p>
    <w:p>
      <w:pPr>
        <w:numPr>
          <w:ilvl w:val="0"/>
          <w:numId w:val="0"/>
        </w:numPr>
        <w:spacing w:before="75" w:line="390" w:lineRule="auto"/>
        <w:ind w:right="18" w:rightChars="0"/>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t>详见附件</w:t>
      </w:r>
      <w:r>
        <w:rPr>
          <w:rFonts w:hint="eastAsia" w:ascii="宋体" w:hAnsi="宋体" w:eastAsia="宋体" w:cs="宋体"/>
          <w:spacing w:val="14"/>
          <w:sz w:val="24"/>
          <w:szCs w:val="24"/>
          <w:lang w:val="en-US" w:eastAsia="zh-CN"/>
        </w:rPr>
        <w:t>1</w:t>
      </w:r>
      <w:r>
        <w:rPr>
          <w:rFonts w:hint="eastAsia" w:ascii="宋体" w:hAnsi="宋体" w:eastAsia="宋体" w:cs="宋体"/>
          <w:spacing w:val="14"/>
          <w:sz w:val="24"/>
          <w:szCs w:val="24"/>
          <w:lang w:eastAsia="zh-CN"/>
        </w:rPr>
        <w:t>。</w:t>
      </w:r>
    </w:p>
    <w:p>
      <w:pPr>
        <w:rPr>
          <w:rFonts w:hint="eastAsia" w:ascii="宋体" w:hAnsi="宋体" w:eastAsia="宋体" w:cs="宋体"/>
          <w:b w:val="0"/>
          <w:bCs w:val="0"/>
          <w:spacing w:val="14"/>
          <w:sz w:val="24"/>
          <w:szCs w:val="24"/>
          <w:lang w:eastAsia="zh-CN"/>
        </w:rPr>
      </w:pPr>
      <w:bookmarkStart w:id="647" w:name="_GoBack"/>
      <w:bookmarkEnd w:id="647"/>
    </w:p>
    <w:sectPr>
      <w:headerReference r:id="rId16" w:type="default"/>
      <w:footerReference r:id="rId17" w:type="default"/>
      <w:pgSz w:w="11906" w:h="16839"/>
      <w:pgMar w:top="400" w:right="1067" w:bottom="400" w:left="957"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225" w:lineRule="auto"/>
      <w:ind w:left="3315"/>
      <w:rPr>
        <w:rFonts w:ascii="宋体" w:hAnsi="宋体" w:eastAsia="宋体" w:cs="宋体"/>
        <w:sz w:val="29"/>
        <w:szCs w:val="2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828"/>
      <w:rPr>
        <w:rFonts w:ascii="Times New Roman" w:hAnsi="Times New Roman" w:eastAsia="Times New Roman" w:cs="Times New Roman"/>
        <w:sz w:val="17"/>
        <w:szCs w:val="17"/>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828"/>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794"/>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794"/>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794"/>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pict>
        <v:shape id="WordPictureWatermark1" o:spid="_x0000_s4097" o:spt="75" type="#_x0000_t75" style="position:absolute;left:0pt;margin-left:90pt;margin-top:358.8pt;height:124.25pt;width:415.35pt;mso-position-horizontal-relative:page;mso-position-vertical-relative:page;z-index:-251657216;mso-width-relative:page;mso-height-relative:page;" filled="f" stroked="f" coordsize="21600,21600" o:allowincell="f">
          <v:path/>
          <v:fill on="f" focussize="0,0"/>
          <v:stroke on="f"/>
          <v:imagedata r:id="rId1" o:title=""/>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pict>
        <v:shape id="WordPictureWatermark3" o:spid="_x0000_s4098" o:spt="75" type="#_x0000_t75" style="position:absolute;left:0pt;margin-left:90pt;margin-top:358.8pt;height:124.25pt;width:415.35pt;mso-position-horizontal-relative:page;mso-position-vertical-relative:page;z-index:-251656192;mso-width-relative:page;mso-height-relative:page;" filled="f" stroked="f" coordsize="21600,21600" o:allowincell="f">
          <v:path/>
          <v:fill on="f" focussize="0,0"/>
          <v:stroke on="f"/>
          <v:imagedata r:id="rId1" o:title=""/>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pict>
        <v:shape id="WordPictureWatermark12" o:spid="_x0000_s4099" o:spt="75" type="#_x0000_t75" style="position:absolute;left:0pt;margin-left:90pt;margin-top:358.8pt;height:124.25pt;width:415.35pt;mso-position-horizontal-relative:page;mso-position-vertical-relative:page;z-index:-251655168;mso-width-relative:page;mso-height-relative:page;" filled="f" stroked="f" coordsize="21600,21600" o:allowincell="f">
          <v:path/>
          <v:fill on="f" focussize="0,0"/>
          <v:stroke on="f"/>
          <v:imagedata r:id="rId1" o:title=""/>
          <o:lock v:ext="edit" aspectratio="t"/>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drawing>
        <wp:anchor distT="0" distB="0" distL="114300" distR="114300" simplePos="0" relativeHeight="251661312" behindDoc="1" locked="0" layoutInCell="0" allowOverlap="1">
          <wp:simplePos x="0" y="0"/>
          <wp:positionH relativeFrom="page">
            <wp:posOffset>1143000</wp:posOffset>
          </wp:positionH>
          <wp:positionV relativeFrom="page">
            <wp:posOffset>4556760</wp:posOffset>
          </wp:positionV>
          <wp:extent cx="5274945" cy="1577975"/>
          <wp:effectExtent l="0" t="0" r="8255" b="9525"/>
          <wp:wrapNone/>
          <wp:docPr id="3" name="WordPictureWatermark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12"/>
                  <pic:cNvPicPr>
                    <a:picLocks noChangeAspect="1"/>
                  </pic:cNvPicPr>
                </pic:nvPicPr>
                <pic:blipFill>
                  <a:blip r:embed="rId1"/>
                  <a:stretch>
                    <a:fillRect/>
                  </a:stretch>
                </pic:blipFill>
                <pic:spPr>
                  <a:xfrm>
                    <a:off x="0" y="0"/>
                    <a:ext cx="5274945" cy="1577975"/>
                  </a:xfrm>
                  <a:prstGeom prst="rect">
                    <a:avLst/>
                  </a:prstGeom>
                  <a:noFill/>
                  <a:ln>
                    <a:noFill/>
                  </a:ln>
                </pic:spPr>
              </pic:pic>
            </a:graphicData>
          </a:graphic>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drawing>
        <wp:anchor distT="0" distB="0" distL="114300" distR="114300" simplePos="0" relativeHeight="251661312" behindDoc="1" locked="0" layoutInCell="0" allowOverlap="1">
          <wp:simplePos x="0" y="0"/>
          <wp:positionH relativeFrom="page">
            <wp:posOffset>1143000</wp:posOffset>
          </wp:positionH>
          <wp:positionV relativeFrom="page">
            <wp:posOffset>4556760</wp:posOffset>
          </wp:positionV>
          <wp:extent cx="5274945" cy="1577975"/>
          <wp:effectExtent l="0" t="0" r="8255" b="9525"/>
          <wp:wrapNone/>
          <wp:docPr id="6" name="WordPictureWatermark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12"/>
                  <pic:cNvPicPr>
                    <a:picLocks noChangeAspect="1"/>
                  </pic:cNvPicPr>
                </pic:nvPicPr>
                <pic:blipFill>
                  <a:blip r:embed="rId1"/>
                  <a:stretch>
                    <a:fillRect/>
                  </a:stretch>
                </pic:blipFill>
                <pic:spPr>
                  <a:xfrm>
                    <a:off x="0" y="0"/>
                    <a:ext cx="5274945" cy="1577975"/>
                  </a:xfrm>
                  <a:prstGeom prst="rect">
                    <a:avLst/>
                  </a:prstGeom>
                  <a:noFill/>
                  <a:ln>
                    <a:noFill/>
                  </a:ln>
                </pic:spPr>
              </pic:pic>
            </a:graphicData>
          </a:graphic>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pict>
        <v:shape id="WordPictureWatermark52" o:spid="_x0000_s4100" o:spt="75" type="#_x0000_t75" style="position:absolute;left:0pt;margin-left:90pt;margin-top:358.8pt;height:124.25pt;width:415.35pt;mso-position-horizontal-relative:page;mso-position-vertical-relative:page;z-index:-251652096;mso-width-relative:page;mso-height-relative:page;" filled="f" stroked="f" coordsize="21600,21600" o:allowincell="f">
          <v:path/>
          <v:fill on="f" focussize="0,0"/>
          <v:stroke on="f"/>
          <v:imagedata r:id="rId1" o:title=""/>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3B357B"/>
    <w:multiLevelType w:val="singleLevel"/>
    <w:tmpl w:val="013B357B"/>
    <w:lvl w:ilvl="0" w:tentative="0">
      <w:start w:val="1"/>
      <w:numFmt w:val="decimal"/>
      <w:suff w:val="nothing"/>
      <w:lvlText w:val="%1、"/>
      <w:lvlJc w:val="left"/>
    </w:lvl>
  </w:abstractNum>
  <w:abstractNum w:abstractNumId="1">
    <w:nsid w:val="4F050F9E"/>
    <w:multiLevelType w:val="singleLevel"/>
    <w:tmpl w:val="4F050F9E"/>
    <w:lvl w:ilvl="0" w:tentative="0">
      <w:start w:val="1"/>
      <w:numFmt w:val="decimal"/>
      <w:suff w:val="nothing"/>
      <w:lvlText w:val="%1、"/>
      <w:lvlJc w:val="left"/>
    </w:lvl>
  </w:abstractNum>
  <w:abstractNum w:abstractNumId="2">
    <w:nsid w:val="50A9C5C6"/>
    <w:multiLevelType w:val="singleLevel"/>
    <w:tmpl w:val="50A9C5C6"/>
    <w:lvl w:ilvl="0" w:tentative="0">
      <w:start w:val="1"/>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efaultTabStop w:val="500"/>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2Q4YjU1Nzc5MjJjYzYxZTI0YTAzYjAwMTM2Y2Y0NzQifQ=="/>
  </w:docVars>
  <w:rsids>
    <w:rsidRoot w:val="00000000"/>
    <w:rsid w:val="00D6759B"/>
    <w:rsid w:val="035838D2"/>
    <w:rsid w:val="036410B5"/>
    <w:rsid w:val="03A84C81"/>
    <w:rsid w:val="03CF5817"/>
    <w:rsid w:val="04F419D9"/>
    <w:rsid w:val="053376DE"/>
    <w:rsid w:val="057B665E"/>
    <w:rsid w:val="058A39EA"/>
    <w:rsid w:val="05D94A6C"/>
    <w:rsid w:val="08370B1F"/>
    <w:rsid w:val="09644DBB"/>
    <w:rsid w:val="0B27418B"/>
    <w:rsid w:val="0C352AE4"/>
    <w:rsid w:val="0C5C29FC"/>
    <w:rsid w:val="0C752D34"/>
    <w:rsid w:val="0CB9509C"/>
    <w:rsid w:val="0D272220"/>
    <w:rsid w:val="0D4F13B5"/>
    <w:rsid w:val="0DD028B8"/>
    <w:rsid w:val="0EB048E9"/>
    <w:rsid w:val="0F7A0D2D"/>
    <w:rsid w:val="11AE1162"/>
    <w:rsid w:val="13DA7FEC"/>
    <w:rsid w:val="13EA712B"/>
    <w:rsid w:val="14417F8C"/>
    <w:rsid w:val="15020CEC"/>
    <w:rsid w:val="16AD7E42"/>
    <w:rsid w:val="16E52CA7"/>
    <w:rsid w:val="16FE3FF2"/>
    <w:rsid w:val="19200B7C"/>
    <w:rsid w:val="1B5C1C2F"/>
    <w:rsid w:val="1C346708"/>
    <w:rsid w:val="1C4C08FC"/>
    <w:rsid w:val="1D104A7F"/>
    <w:rsid w:val="1D426240"/>
    <w:rsid w:val="1F443106"/>
    <w:rsid w:val="20564C98"/>
    <w:rsid w:val="20D85D6E"/>
    <w:rsid w:val="21E309B4"/>
    <w:rsid w:val="221A6F3B"/>
    <w:rsid w:val="229F21A5"/>
    <w:rsid w:val="22DD18A7"/>
    <w:rsid w:val="23166B67"/>
    <w:rsid w:val="25270BB7"/>
    <w:rsid w:val="26997075"/>
    <w:rsid w:val="2717577D"/>
    <w:rsid w:val="27532138"/>
    <w:rsid w:val="27C56D93"/>
    <w:rsid w:val="2815340C"/>
    <w:rsid w:val="28240A0C"/>
    <w:rsid w:val="29C50461"/>
    <w:rsid w:val="2C92725E"/>
    <w:rsid w:val="2CAA4033"/>
    <w:rsid w:val="2CF75313"/>
    <w:rsid w:val="2E2347CE"/>
    <w:rsid w:val="2E41718E"/>
    <w:rsid w:val="2E731311"/>
    <w:rsid w:val="31006041"/>
    <w:rsid w:val="3112096E"/>
    <w:rsid w:val="331D35FA"/>
    <w:rsid w:val="34C603ED"/>
    <w:rsid w:val="35431A3E"/>
    <w:rsid w:val="35CF507F"/>
    <w:rsid w:val="35E17638"/>
    <w:rsid w:val="36A738F6"/>
    <w:rsid w:val="37184804"/>
    <w:rsid w:val="372B2789"/>
    <w:rsid w:val="373846C0"/>
    <w:rsid w:val="376E2676"/>
    <w:rsid w:val="37925C94"/>
    <w:rsid w:val="37DA6487"/>
    <w:rsid w:val="381F0608"/>
    <w:rsid w:val="39A768AB"/>
    <w:rsid w:val="39B03221"/>
    <w:rsid w:val="39B60304"/>
    <w:rsid w:val="3B985F13"/>
    <w:rsid w:val="3D560D03"/>
    <w:rsid w:val="3EE35017"/>
    <w:rsid w:val="40763AEB"/>
    <w:rsid w:val="40E8793D"/>
    <w:rsid w:val="4222303F"/>
    <w:rsid w:val="443D3AFC"/>
    <w:rsid w:val="4453546D"/>
    <w:rsid w:val="45F80074"/>
    <w:rsid w:val="462F56C6"/>
    <w:rsid w:val="464B2CF8"/>
    <w:rsid w:val="479C6E13"/>
    <w:rsid w:val="4B0F4A62"/>
    <w:rsid w:val="4BDE7972"/>
    <w:rsid w:val="4C7622A1"/>
    <w:rsid w:val="4D411BF4"/>
    <w:rsid w:val="509E3B74"/>
    <w:rsid w:val="51764AF1"/>
    <w:rsid w:val="519B00B4"/>
    <w:rsid w:val="51F36142"/>
    <w:rsid w:val="520B348B"/>
    <w:rsid w:val="523F3135"/>
    <w:rsid w:val="550F2A82"/>
    <w:rsid w:val="56CC23A4"/>
    <w:rsid w:val="56DC178D"/>
    <w:rsid w:val="57523725"/>
    <w:rsid w:val="57C61D2F"/>
    <w:rsid w:val="5CF1631B"/>
    <w:rsid w:val="5CF24F00"/>
    <w:rsid w:val="5D9761AF"/>
    <w:rsid w:val="5DF012AB"/>
    <w:rsid w:val="5E3C52E2"/>
    <w:rsid w:val="5E4869E3"/>
    <w:rsid w:val="5F2660BA"/>
    <w:rsid w:val="600A144A"/>
    <w:rsid w:val="60332FB0"/>
    <w:rsid w:val="604C38E0"/>
    <w:rsid w:val="62EC519E"/>
    <w:rsid w:val="63212B0F"/>
    <w:rsid w:val="64A30288"/>
    <w:rsid w:val="659F7D1B"/>
    <w:rsid w:val="65C21C5B"/>
    <w:rsid w:val="66963E6A"/>
    <w:rsid w:val="66F8358B"/>
    <w:rsid w:val="66F978FF"/>
    <w:rsid w:val="67863B78"/>
    <w:rsid w:val="681349F0"/>
    <w:rsid w:val="694A3794"/>
    <w:rsid w:val="69CF362B"/>
    <w:rsid w:val="69D93B92"/>
    <w:rsid w:val="6AB45E62"/>
    <w:rsid w:val="6AC447F1"/>
    <w:rsid w:val="6B4C4AE6"/>
    <w:rsid w:val="6C2C3490"/>
    <w:rsid w:val="6C3557A5"/>
    <w:rsid w:val="6CC049D8"/>
    <w:rsid w:val="6D0251D4"/>
    <w:rsid w:val="6E11552E"/>
    <w:rsid w:val="6E675E0B"/>
    <w:rsid w:val="6F975F07"/>
    <w:rsid w:val="702754DC"/>
    <w:rsid w:val="70D772D8"/>
    <w:rsid w:val="745841F7"/>
    <w:rsid w:val="74C83A76"/>
    <w:rsid w:val="74DD23E1"/>
    <w:rsid w:val="76FD0144"/>
    <w:rsid w:val="77CE2F7E"/>
    <w:rsid w:val="78DB3308"/>
    <w:rsid w:val="78DF7AF5"/>
    <w:rsid w:val="78E765C5"/>
    <w:rsid w:val="79F75A30"/>
    <w:rsid w:val="7B5551A9"/>
    <w:rsid w:val="7B91773C"/>
    <w:rsid w:val="7C30396B"/>
    <w:rsid w:val="7D7825D7"/>
    <w:rsid w:val="7E9712AE"/>
    <w:rsid w:val="7F8813C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toc 3"/>
    <w:basedOn w:val="1"/>
    <w:next w:val="1"/>
    <w:qFormat/>
    <w:uiPriority w:val="0"/>
    <w:pPr>
      <w:ind w:left="840" w:leftChars="400"/>
    </w:pPr>
  </w:style>
  <w:style w:type="paragraph" w:styleId="4">
    <w:name w:val="footer"/>
    <w:basedOn w:val="1"/>
    <w:qFormat/>
    <w:uiPriority w:val="0"/>
    <w:pPr>
      <w:snapToGrid w:val="0"/>
      <w:ind w:right="210" w:rightChars="100"/>
      <w:jc w:val="right"/>
    </w:pPr>
    <w:rPr>
      <w:sz w:val="18"/>
      <w:szCs w:val="18"/>
    </w:rPr>
  </w:style>
  <w:style w:type="paragraph" w:styleId="5">
    <w:name w:val="toc 1"/>
    <w:basedOn w:val="1"/>
    <w:next w:val="1"/>
    <w:qFormat/>
    <w:uiPriority w:val="0"/>
  </w:style>
  <w:style w:type="paragraph" w:styleId="6">
    <w:name w:val="toc 2"/>
    <w:basedOn w:val="1"/>
    <w:next w:val="1"/>
    <w:qFormat/>
    <w:uiPriority w:val="0"/>
    <w:pPr>
      <w:ind w:left="420" w:leftChars="200"/>
    </w:pPr>
  </w:style>
  <w:style w:type="table" w:customStyle="1" w:styleId="9">
    <w:name w:val="Table Normal"/>
    <w:semiHidden/>
    <w:unhideWhenUsed/>
    <w:qFormat/>
    <w:uiPriority w:val="0"/>
    <w:tblPr>
      <w:tblCellMar>
        <w:top w:w="0" w:type="dxa"/>
        <w:left w:w="0" w:type="dxa"/>
        <w:bottom w:w="0" w:type="dxa"/>
        <w:right w:w="0" w:type="dxa"/>
      </w:tblCellMar>
    </w:tblPr>
  </w:style>
  <w:style w:type="character" w:customStyle="1" w:styleId="10">
    <w:name w:val="font21"/>
    <w:basedOn w:val="8"/>
    <w:qFormat/>
    <w:uiPriority w:val="0"/>
    <w:rPr>
      <w:rFonts w:hint="eastAsia" w:ascii="宋体" w:hAnsi="宋体" w:eastAsia="宋体" w:cs="宋体"/>
      <w:color w:val="000000"/>
      <w:sz w:val="18"/>
      <w:szCs w:val="18"/>
      <w:u w:val="none"/>
    </w:rPr>
  </w:style>
  <w:style w:type="character" w:customStyle="1" w:styleId="11">
    <w:name w:val="font51"/>
    <w:basedOn w:val="8"/>
    <w:qFormat/>
    <w:uiPriority w:val="0"/>
    <w:rPr>
      <w:rFonts w:hint="eastAsia" w:ascii="宋体" w:hAnsi="宋体" w:eastAsia="宋体" w:cs="宋体"/>
      <w:color w:val="000000"/>
      <w:sz w:val="9"/>
      <w:szCs w:val="9"/>
      <w:u w:val="none"/>
    </w:rPr>
  </w:style>
  <w:style w:type="character" w:customStyle="1" w:styleId="12">
    <w:name w:val="font31"/>
    <w:basedOn w:val="8"/>
    <w:qFormat/>
    <w:uiPriority w:val="0"/>
    <w:rPr>
      <w:rFonts w:hint="eastAsia" w:ascii="宋体" w:hAnsi="宋体" w:eastAsia="宋体" w:cs="宋体"/>
      <w:color w:val="000000"/>
      <w:sz w:val="20"/>
      <w:szCs w:val="20"/>
      <w:u w:val="none"/>
    </w:rPr>
  </w:style>
  <w:style w:type="character" w:customStyle="1" w:styleId="13">
    <w:name w:val="font91"/>
    <w:basedOn w:val="8"/>
    <w:qFormat/>
    <w:uiPriority w:val="0"/>
    <w:rPr>
      <w:rFonts w:hint="eastAsia" w:ascii="宋体" w:hAnsi="宋体" w:eastAsia="宋体" w:cs="宋体"/>
      <w:color w:val="000000"/>
      <w:sz w:val="20"/>
      <w:szCs w:val="20"/>
      <w:u w:val="none"/>
      <w:vertAlign w:val="superscript"/>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3"/>
    <w:qFormat/>
    <w:uiPriority w:val="0"/>
    <w:pPr>
      <w:ind w:leftChars="40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 w:type="character" w:customStyle="1" w:styleId="17">
    <w:name w:val="font71"/>
    <w:basedOn w:val="8"/>
    <w:qFormat/>
    <w:uiPriority w:val="0"/>
    <w:rPr>
      <w:rFonts w:hint="eastAsia" w:ascii="宋体" w:hAnsi="宋体" w:eastAsia="宋体" w:cs="宋体"/>
      <w:color w:val="000000"/>
      <w:sz w:val="18"/>
      <w:szCs w:val="18"/>
      <w:u w:val="none"/>
    </w:rPr>
  </w:style>
  <w:style w:type="character" w:customStyle="1" w:styleId="18">
    <w:name w:val="font61"/>
    <w:basedOn w:val="8"/>
    <w:qFormat/>
    <w:uiPriority w:val="0"/>
    <w:rPr>
      <w:rFonts w:hint="eastAsia" w:ascii="宋体" w:hAnsi="宋体" w:eastAsia="宋体" w:cs="宋体"/>
      <w:color w:val="000000"/>
      <w:sz w:val="20"/>
      <w:szCs w:val="20"/>
      <w:u w:val="none"/>
    </w:rPr>
  </w:style>
  <w:style w:type="character" w:customStyle="1" w:styleId="19">
    <w:name w:val="font11"/>
    <w:basedOn w:val="8"/>
    <w:qFormat/>
    <w:uiPriority w:val="0"/>
    <w:rPr>
      <w:rFonts w:hint="eastAsia" w:ascii="宋体" w:hAnsi="宋体" w:eastAsia="宋体" w:cs="宋体"/>
      <w:color w:val="000000"/>
      <w:sz w:val="18"/>
      <w:szCs w:val="18"/>
      <w:u w:val="none"/>
    </w:rPr>
  </w:style>
  <w:style w:type="character" w:customStyle="1" w:styleId="20">
    <w:name w:val="font41"/>
    <w:basedOn w:val="8"/>
    <w:qFormat/>
    <w:uiPriority w:val="0"/>
    <w:rPr>
      <w:rFonts w:hint="eastAsia" w:ascii="宋体" w:hAnsi="宋体" w:eastAsia="宋体" w:cs="宋体"/>
      <w:color w:val="000000"/>
      <w:sz w:val="20"/>
      <w:szCs w:val="20"/>
      <w:u w:val="none"/>
    </w:rPr>
  </w:style>
  <w:style w:type="character" w:customStyle="1" w:styleId="21">
    <w:name w:val="font01"/>
    <w:basedOn w:val="8"/>
    <w:qFormat/>
    <w:uiPriority w:val="0"/>
    <w:rPr>
      <w:rFonts w:hint="eastAsia" w:ascii="宋体" w:hAnsi="宋体" w:eastAsia="宋体" w:cs="宋体"/>
      <w:color w:val="000000"/>
      <w:sz w:val="20"/>
      <w:szCs w:val="20"/>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3.png"/><Relationship Id="rId21" Type="http://schemas.openxmlformats.org/officeDocument/2006/relationships/oleObject" Target="embeddings/oleObject2.bin"/><Relationship Id="rId20" Type="http://schemas.openxmlformats.org/officeDocument/2006/relationships/image" Target="media/image2.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theme" Target="theme/theme1.xml"/><Relationship Id="rId17" Type="http://schemas.openxmlformats.org/officeDocument/2006/relationships/footer" Target="footer7.xml"/><Relationship Id="rId16" Type="http://schemas.openxmlformats.org/officeDocument/2006/relationships/header" Target="header6.xml"/><Relationship Id="rId15" Type="http://schemas.openxmlformats.org/officeDocument/2006/relationships/footer" Target="foot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4097"/>
    <customShpInfo spid="_x0000_s4098"/>
    <customShpInfo spid="_x0000_s1026" textRotate="1"/>
    <customShpInfo spid="_x0000_s4099"/>
    <customShpInfo spid="_x0000_s410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117</Pages>
  <Words>80507</Words>
  <Characters>84863</Characters>
  <TotalTime>0</TotalTime>
  <ScaleCrop>false</ScaleCrop>
  <LinksUpToDate>false</LinksUpToDate>
  <CharactersWithSpaces>86661</CharactersWithSpaces>
  <Application>WPS Office_12.1.0.16929_F1E327BC-269C-435d-A152-05C5408002CA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2021-12-29T16:04:00Z</dcterms:created>
  <dc:creator>微软中国</dc:creator>
  <cp:lastModifiedBy>小黑</cp:lastModifiedBy>
  <dcterms:modified xsi:type="dcterms:W3CDTF">2024-12-04T08:52:10Z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2022-07-29T15:39:18Z</vt:filetime>
  </property>
  <property fmtid="{D5CDD505-2E9C-101B-9397-08002B2CF9AE}" pid="4" name="KSOProductBuildVer">
    <vt:lpwstr>2052-12.1.0.16929</vt:lpwstr>
  </property>
  <property fmtid="{D5CDD505-2E9C-101B-9397-08002B2CF9AE}" pid="5" name="ICV">
    <vt:lpwstr>72BB269AB56C4A36BE6B14C661C8E469</vt:lpwstr>
  </property>
</Properties>
</file>