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169" w:line="220" w:lineRule="auto"/>
        <w:jc w:val="center"/>
        <w:rPr>
          <w:rFonts w:hint="default" w:ascii="宋体" w:hAnsi="宋体" w:eastAsia="宋体" w:cs="宋体"/>
          <w:sz w:val="52"/>
          <w:szCs w:val="52"/>
          <w:lang w:val="en-US" w:eastAsia="zh-CN"/>
        </w:rPr>
      </w:pPr>
      <w:r>
        <w:rPr>
          <w:rFonts w:hint="eastAsia" w:ascii="宋体" w:hAnsi="宋体" w:eastAsia="宋体" w:cs="宋体"/>
          <w:sz w:val="52"/>
          <w:szCs w:val="52"/>
          <w:lang w:eastAsia="zh-CN"/>
          <w14:textOutline w14:w="9461" w14:cap="sq" w14:cmpd="sng">
            <w14:solidFill>
              <w14:srgbClr w14:val="000000"/>
            </w14:solidFill>
            <w14:prstDash w14:val="solid"/>
            <w14:bevel/>
          </w14:textOutline>
        </w:rPr>
        <w:t>全国大学生建设</w:t>
      </w:r>
      <w:r>
        <w:rPr>
          <w:rFonts w:hint="eastAsia" w:ascii="宋体" w:hAnsi="宋体" w:eastAsia="宋体" w:cs="宋体"/>
          <w:sz w:val="52"/>
          <w:szCs w:val="52"/>
          <w14:textOutline w14:w="9461" w14:cap="sq" w14:cmpd="sng">
            <w14:solidFill>
              <w14:srgbClr w14:val="000000"/>
            </w14:solidFill>
            <w14:prstDash w14:val="solid"/>
            <w14:bevel/>
          </w14:textOutline>
        </w:rPr>
        <w:t>工程计量与支付大赛案例+考题</w:t>
      </w:r>
      <w:r>
        <w:rPr>
          <w:rFonts w:hint="eastAsia" w:ascii="宋体" w:hAnsi="宋体" w:eastAsia="宋体" w:cs="宋体"/>
          <w:sz w:val="52"/>
          <w:szCs w:val="52"/>
          <w:lang w:val="en-US" w:eastAsia="zh-CN"/>
          <w14:textOutline w14:w="9461" w14:cap="sq" w14:cmpd="sng">
            <w14:solidFill>
              <w14:srgbClr w14:val="000000"/>
            </w14:solidFill>
            <w14:prstDash w14:val="solid"/>
            <w14:bevel/>
          </w14:textOutline>
        </w:rPr>
        <w:t>10</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97" w:line="624" w:lineRule="exact"/>
        <w:ind w:firstLine="2223"/>
        <w:outlineLvl w:val="0"/>
        <w:rPr>
          <w:rFonts w:ascii="宋体" w:hAnsi="宋体" w:eastAsia="宋体" w:cs="宋体"/>
          <w:sz w:val="30"/>
          <w:szCs w:val="30"/>
        </w:rPr>
      </w:pPr>
      <w:bookmarkStart w:id="0" w:name="_Toc274"/>
      <w:bookmarkStart w:id="1" w:name="_Toc14747"/>
      <w:r>
        <w:rPr>
          <w:rFonts w:ascii="宋体" w:hAnsi="宋体" w:eastAsia="宋体" w:cs="宋体"/>
          <w:position w:val="24"/>
          <w:sz w:val="30"/>
          <w:szCs w:val="30"/>
          <w14:textOutline w14:w="5448" w14:cap="sq" w14:cmpd="sng">
            <w14:solidFill>
              <w14:srgbClr w14:val="000000"/>
            </w14:solidFill>
            <w14:prstDash w14:val="solid"/>
            <w14:bevel/>
          </w14:textOutline>
        </w:rPr>
        <w:t>长沙</w:t>
      </w:r>
      <w:r>
        <w:rPr>
          <w:rFonts w:hint="eastAsia" w:ascii="宋体" w:hAnsi="宋体" w:eastAsia="宋体" w:cs="宋体"/>
          <w:position w:val="24"/>
          <w:sz w:val="30"/>
          <w:szCs w:val="30"/>
          <w:lang w:val="en-US" w:eastAsia="zh-CN"/>
          <w14:textOutline w14:w="5448" w14:cap="sq" w14:cmpd="sng">
            <w14:solidFill>
              <w14:srgbClr w14:val="000000"/>
            </w14:solidFill>
            <w14:prstDash w14:val="solid"/>
            <w14:bevel/>
          </w14:textOutline>
        </w:rPr>
        <w:t>计支宝</w:t>
      </w:r>
      <w:r>
        <w:rPr>
          <w:rFonts w:ascii="宋体" w:hAnsi="宋体" w:eastAsia="宋体" w:cs="宋体"/>
          <w:position w:val="24"/>
          <w:sz w:val="30"/>
          <w:szCs w:val="30"/>
          <w14:textOutline w14:w="5448" w14:cap="sq" w14:cmpd="sng">
            <w14:solidFill>
              <w14:srgbClr w14:val="000000"/>
            </w14:solidFill>
            <w14:prstDash w14:val="solid"/>
            <w14:bevel/>
          </w14:textOutline>
        </w:rPr>
        <w:t>信息科技有限公司</w:t>
      </w:r>
      <w:bookmarkEnd w:id="0"/>
      <w:bookmarkEnd w:id="1"/>
    </w:p>
    <w:p>
      <w:pPr>
        <w:spacing w:line="204" w:lineRule="auto"/>
        <w:ind w:firstLine="3315"/>
        <w:rPr>
          <w:rFonts w:ascii="宋体" w:hAnsi="宋体" w:eastAsia="宋体" w:cs="宋体"/>
          <w:sz w:val="30"/>
          <w:szCs w:val="30"/>
        </w:rPr>
      </w:pPr>
      <w:r>
        <w:rPr>
          <w:rFonts w:ascii="宋体" w:hAnsi="宋体" w:eastAsia="宋体" w:cs="宋体"/>
          <w:spacing w:val="-8"/>
          <w:sz w:val="30"/>
          <w:szCs w:val="30"/>
          <w14:textOutline w14:w="5448" w14:cap="sq" w14:cmpd="sng">
            <w14:solidFill>
              <w14:srgbClr w14:val="000000"/>
            </w14:solidFill>
            <w14:prstDash w14:val="solid"/>
            <w14:bevel/>
          </w14:textOutline>
        </w:rPr>
        <w:t>202</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4</w:t>
      </w:r>
      <w:r>
        <w:rPr>
          <w:rFonts w:ascii="宋体" w:hAnsi="宋体" w:eastAsia="宋体" w:cs="宋体"/>
          <w:spacing w:val="-55"/>
          <w:sz w:val="30"/>
          <w:szCs w:val="30"/>
        </w:rPr>
        <w:t xml:space="preserve"> </w:t>
      </w:r>
      <w:r>
        <w:rPr>
          <w:rFonts w:ascii="宋体" w:hAnsi="宋体" w:eastAsia="宋体" w:cs="宋体"/>
          <w:spacing w:val="-8"/>
          <w:sz w:val="30"/>
          <w:szCs w:val="30"/>
          <w14:textOutline w14:w="5448" w14:cap="sq" w14:cmpd="sng">
            <w14:solidFill>
              <w14:srgbClr w14:val="000000"/>
            </w14:solidFill>
            <w14:prstDash w14:val="solid"/>
            <w14:bevel/>
          </w14:textOutline>
        </w:rPr>
        <w:t>年</w:t>
      </w:r>
      <w:r>
        <w:rPr>
          <w:rFonts w:ascii="宋体" w:hAnsi="宋体" w:eastAsia="宋体" w:cs="宋体"/>
          <w:spacing w:val="-40"/>
          <w:sz w:val="30"/>
          <w:szCs w:val="30"/>
        </w:rPr>
        <w:t xml:space="preserve"> </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8</w:t>
      </w:r>
      <w:r>
        <w:rPr>
          <w:rFonts w:ascii="宋体" w:hAnsi="宋体" w:eastAsia="宋体" w:cs="宋体"/>
          <w:spacing w:val="-40"/>
          <w:sz w:val="30"/>
          <w:szCs w:val="30"/>
        </w:rPr>
        <w:t xml:space="preserve"> </w:t>
      </w:r>
      <w:r>
        <w:rPr>
          <w:rFonts w:ascii="宋体" w:hAnsi="宋体" w:eastAsia="宋体" w:cs="宋体"/>
          <w:spacing w:val="-8"/>
          <w:sz w:val="30"/>
          <w:szCs w:val="30"/>
          <w14:textOutline w14:w="5448" w14:cap="sq" w14:cmpd="sng">
            <w14:solidFill>
              <w14:srgbClr w14:val="000000"/>
            </w14:solidFill>
            <w14:prstDash w14:val="solid"/>
            <w14:bevel/>
          </w14:textOutline>
        </w:rPr>
        <w:t>月</w:t>
      </w:r>
    </w:p>
    <w:p>
      <w:pPr>
        <w:sectPr>
          <w:headerReference r:id="rId5" w:type="default"/>
          <w:footerReference r:id="rId6" w:type="default"/>
          <w:pgSz w:w="11906" w:h="16839"/>
          <w:pgMar w:top="400" w:right="1785" w:bottom="2754" w:left="1785" w:header="0" w:footer="2400" w:gutter="0"/>
          <w:cols w:space="720" w:num="1"/>
        </w:sectPr>
      </w:pPr>
    </w:p>
    <w:p>
      <w:pPr>
        <w:spacing w:line="280" w:lineRule="auto"/>
        <w:rPr>
          <w:rFonts w:ascii="Arial"/>
          <w:sz w:val="21"/>
        </w:rPr>
      </w:pPr>
    </w:p>
    <w:sdt>
      <w:sdtPr>
        <w:rPr>
          <w:rFonts w:ascii="宋体" w:hAnsi="宋体" w:eastAsia="宋体" w:cs="Arial"/>
          <w:snapToGrid w:val="0"/>
          <w:color w:val="000000"/>
          <w:kern w:val="0"/>
          <w:sz w:val="21"/>
          <w:szCs w:val="21"/>
        </w:rPr>
        <w:id w:val="147459390"/>
        <w15:color w:val="DBDBDB"/>
        <w:docPartObj>
          <w:docPartGallery w:val="Table of Contents"/>
          <w:docPartUnique/>
        </w:docPartObj>
      </w:sdtPr>
      <w:sdtEndPr>
        <w:rPr>
          <w:rFonts w:ascii="Arial" w:hAnsi="Arial" w:eastAsia="Arial" w:cs="Arial"/>
          <w:snapToGrid w:val="0"/>
          <w:color w:val="000000"/>
          <w:kern w:val="0"/>
          <w:sz w:val="21"/>
          <w:szCs w:val="21"/>
        </w:rPr>
      </w:sdtEndPr>
      <w:sdtContent>
        <w:p>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rPr>
          </w:pPr>
        </w:p>
        <w:p>
          <w:pPr>
            <w:spacing w:before="0" w:beforeLines="0" w:after="0" w:afterLines="0" w:line="240" w:lineRule="auto"/>
            <w:ind w:left="0" w:leftChars="0" w:right="0" w:rightChars="0" w:firstLine="0" w:firstLineChars="0"/>
            <w:jc w:val="center"/>
          </w:pPr>
          <w:r>
            <w:rPr>
              <w:rFonts w:ascii="宋体" w:hAnsi="宋体" w:eastAsia="宋体"/>
              <w:sz w:val="28"/>
              <w:szCs w:val="28"/>
            </w:rPr>
            <w:t>目录</w:t>
          </w:r>
        </w:p>
        <w:p>
          <w:pPr>
            <w:pStyle w:val="5"/>
            <w:tabs>
              <w:tab w:val="right" w:leader="dot" w:pos="9820"/>
            </w:tabs>
          </w:pPr>
          <w:r>
            <w:rPr>
              <w:rFonts w:ascii="Arial"/>
              <w:sz w:val="21"/>
            </w:rPr>
            <w:fldChar w:fldCharType="begin"/>
          </w:r>
          <w:r>
            <w:rPr>
              <w:rFonts w:ascii="Arial"/>
              <w:sz w:val="21"/>
            </w:rPr>
            <w:instrText xml:space="preserve">TOC \o "1-3" \h \u </w:instrText>
          </w:r>
          <w:r>
            <w:rPr>
              <w:rFonts w:ascii="Arial"/>
              <w:sz w:val="21"/>
            </w:rPr>
            <w:fldChar w:fldCharType="separate"/>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_Toc3231 </w:instrText>
          </w:r>
          <w:r>
            <w:rPr>
              <w:rFonts w:ascii="Arial"/>
              <w:sz w:val="24"/>
              <w:szCs w:val="24"/>
            </w:rPr>
            <w:fldChar w:fldCharType="separate"/>
          </w: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rPr>
            <w:t>工程项目概况</w:t>
          </w:r>
          <w:r>
            <w:rPr>
              <w:sz w:val="24"/>
              <w:szCs w:val="24"/>
            </w:rPr>
            <w:tab/>
          </w:r>
          <w:r>
            <w:rPr>
              <w:sz w:val="24"/>
              <w:szCs w:val="24"/>
            </w:rPr>
            <w:fldChar w:fldCharType="begin"/>
          </w:r>
          <w:r>
            <w:rPr>
              <w:sz w:val="24"/>
              <w:szCs w:val="24"/>
            </w:rPr>
            <w:instrText xml:space="preserve"> PAGEREF _Toc3231 \h </w:instrText>
          </w:r>
          <w:r>
            <w:rPr>
              <w:sz w:val="24"/>
              <w:szCs w:val="24"/>
            </w:rPr>
            <w:fldChar w:fldCharType="separate"/>
          </w:r>
          <w:r>
            <w:rPr>
              <w:sz w:val="24"/>
              <w:szCs w:val="24"/>
            </w:rPr>
            <w:t>1</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_Toc22539 </w:instrText>
          </w:r>
          <w:r>
            <w:rPr>
              <w:rFonts w:ascii="Arial"/>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eastAsia="zh-CN"/>
            </w:rPr>
            <w:t>、</w:t>
          </w:r>
          <w:r>
            <w:rPr>
              <w:rFonts w:hint="eastAsia" w:ascii="宋体" w:hAnsi="宋体" w:eastAsia="宋体" w:cs="宋体"/>
              <w:sz w:val="24"/>
              <w:szCs w:val="24"/>
            </w:rPr>
            <w:t>施工合同</w:t>
          </w:r>
          <w:r>
            <w:rPr>
              <w:sz w:val="24"/>
              <w:szCs w:val="24"/>
            </w:rPr>
            <w:tab/>
          </w:r>
          <w:r>
            <w:rPr>
              <w:sz w:val="24"/>
              <w:szCs w:val="24"/>
            </w:rPr>
            <w:fldChar w:fldCharType="begin"/>
          </w:r>
          <w:r>
            <w:rPr>
              <w:sz w:val="24"/>
              <w:szCs w:val="24"/>
            </w:rPr>
            <w:instrText xml:space="preserve"> PAGEREF _Toc22539 \h </w:instrText>
          </w:r>
          <w:r>
            <w:rPr>
              <w:sz w:val="24"/>
              <w:szCs w:val="24"/>
            </w:rPr>
            <w:fldChar w:fldCharType="separate"/>
          </w:r>
          <w:r>
            <w:rPr>
              <w:sz w:val="24"/>
              <w:szCs w:val="24"/>
            </w:rPr>
            <w:t>2</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_Toc20995 </w:instrText>
          </w:r>
          <w:r>
            <w:rPr>
              <w:rFonts w:ascii="Arial"/>
              <w:sz w:val="24"/>
              <w:szCs w:val="24"/>
            </w:rPr>
            <w:fldChar w:fldCharType="separate"/>
          </w:r>
          <w:r>
            <w:rPr>
              <w:rFonts w:hint="eastAsia" w:ascii="宋体" w:hAnsi="宋体" w:eastAsia="宋体" w:cs="宋体"/>
              <w:sz w:val="24"/>
              <w:szCs w:val="24"/>
            </w:rPr>
            <w:t>三</w:t>
          </w:r>
          <w:r>
            <w:rPr>
              <w:rFonts w:hint="eastAsia" w:ascii="宋体" w:hAnsi="宋体" w:eastAsia="宋体" w:cs="宋体"/>
              <w:sz w:val="24"/>
              <w:szCs w:val="24"/>
              <w:lang w:eastAsia="zh-CN"/>
            </w:rPr>
            <w:t>、合同工程量清单</w:t>
          </w:r>
          <w:r>
            <w:rPr>
              <w:sz w:val="24"/>
              <w:szCs w:val="24"/>
            </w:rPr>
            <w:tab/>
          </w:r>
          <w:r>
            <w:rPr>
              <w:sz w:val="24"/>
              <w:szCs w:val="24"/>
            </w:rPr>
            <w:fldChar w:fldCharType="begin"/>
          </w:r>
          <w:r>
            <w:rPr>
              <w:sz w:val="24"/>
              <w:szCs w:val="24"/>
            </w:rPr>
            <w:instrText xml:space="preserve"> PAGEREF _Toc20995 \h </w:instrText>
          </w:r>
          <w:r>
            <w:rPr>
              <w:sz w:val="24"/>
              <w:szCs w:val="24"/>
            </w:rPr>
            <w:fldChar w:fldCharType="separate"/>
          </w:r>
          <w:r>
            <w:rPr>
              <w:sz w:val="24"/>
              <w:szCs w:val="24"/>
            </w:rPr>
            <w:t>75</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_Toc3643 </w:instrText>
          </w:r>
          <w:r>
            <w:rPr>
              <w:rFonts w:ascii="Arial"/>
              <w:sz w:val="24"/>
              <w:szCs w:val="24"/>
            </w:rPr>
            <w:fldChar w:fldCharType="separate"/>
          </w:r>
          <w:r>
            <w:rPr>
              <w:rFonts w:hint="eastAsia" w:ascii="宋体" w:hAnsi="宋体" w:eastAsia="宋体" w:cs="宋体"/>
              <w:sz w:val="24"/>
              <w:szCs w:val="24"/>
              <w:lang w:eastAsia="zh-CN"/>
            </w:rPr>
            <w:t>四、监理合同</w:t>
          </w:r>
          <w:r>
            <w:rPr>
              <w:sz w:val="24"/>
              <w:szCs w:val="24"/>
            </w:rPr>
            <w:tab/>
          </w:r>
          <w:r>
            <w:rPr>
              <w:sz w:val="24"/>
              <w:szCs w:val="24"/>
            </w:rPr>
            <w:fldChar w:fldCharType="begin"/>
          </w:r>
          <w:r>
            <w:rPr>
              <w:sz w:val="24"/>
              <w:szCs w:val="24"/>
            </w:rPr>
            <w:instrText xml:space="preserve"> PAGEREF _Toc3643 \h </w:instrText>
          </w:r>
          <w:r>
            <w:rPr>
              <w:sz w:val="24"/>
              <w:szCs w:val="24"/>
            </w:rPr>
            <w:fldChar w:fldCharType="separate"/>
          </w:r>
          <w:r>
            <w:rPr>
              <w:sz w:val="24"/>
              <w:szCs w:val="24"/>
            </w:rPr>
            <w:t>76</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_Toc15390 </w:instrText>
          </w:r>
          <w:r>
            <w:rPr>
              <w:rFonts w:ascii="Arial"/>
              <w:sz w:val="24"/>
              <w:szCs w:val="24"/>
            </w:rPr>
            <w:fldChar w:fldCharType="separate"/>
          </w:r>
          <w:r>
            <w:rPr>
              <w:rFonts w:hint="eastAsia" w:ascii="宋体" w:hAnsi="宋体" w:eastAsia="宋体" w:cs="宋体"/>
              <w:sz w:val="24"/>
              <w:szCs w:val="24"/>
            </w:rPr>
            <w:t>五</w:t>
          </w:r>
          <w:r>
            <w:rPr>
              <w:rFonts w:hint="eastAsia" w:ascii="宋体" w:hAnsi="宋体" w:eastAsia="宋体" w:cs="宋体"/>
              <w:sz w:val="24"/>
              <w:szCs w:val="24"/>
              <w:lang w:eastAsia="zh-CN"/>
            </w:rPr>
            <w:t>、变更资料</w:t>
          </w:r>
          <w:r>
            <w:rPr>
              <w:sz w:val="24"/>
              <w:szCs w:val="24"/>
            </w:rPr>
            <w:tab/>
          </w:r>
          <w:r>
            <w:rPr>
              <w:sz w:val="24"/>
              <w:szCs w:val="24"/>
            </w:rPr>
            <w:fldChar w:fldCharType="begin"/>
          </w:r>
          <w:r>
            <w:rPr>
              <w:sz w:val="24"/>
              <w:szCs w:val="24"/>
            </w:rPr>
            <w:instrText xml:space="preserve"> PAGEREF _Toc15390 \h </w:instrText>
          </w:r>
          <w:r>
            <w:rPr>
              <w:sz w:val="24"/>
              <w:szCs w:val="24"/>
            </w:rPr>
            <w:fldChar w:fldCharType="separate"/>
          </w:r>
          <w:r>
            <w:rPr>
              <w:sz w:val="24"/>
              <w:szCs w:val="24"/>
            </w:rPr>
            <w:t>94</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_Toc16212 </w:instrText>
          </w:r>
          <w:r>
            <w:rPr>
              <w:rFonts w:ascii="Arial"/>
              <w:sz w:val="24"/>
              <w:szCs w:val="24"/>
            </w:rPr>
            <w:fldChar w:fldCharType="separate"/>
          </w:r>
          <w:r>
            <w:rPr>
              <w:rFonts w:hint="eastAsia"/>
              <w:sz w:val="24"/>
              <w:szCs w:val="24"/>
              <w:lang w:eastAsia="zh-CN"/>
            </w:rPr>
            <w:t>六、本期计量完成统计表</w:t>
          </w:r>
          <w:r>
            <w:rPr>
              <w:sz w:val="24"/>
              <w:szCs w:val="24"/>
            </w:rPr>
            <w:tab/>
          </w:r>
          <w:r>
            <w:rPr>
              <w:sz w:val="24"/>
              <w:szCs w:val="24"/>
            </w:rPr>
            <w:fldChar w:fldCharType="begin"/>
          </w:r>
          <w:r>
            <w:rPr>
              <w:sz w:val="24"/>
              <w:szCs w:val="24"/>
            </w:rPr>
            <w:instrText xml:space="preserve"> PAGEREF _Toc16212 \h </w:instrText>
          </w:r>
          <w:r>
            <w:rPr>
              <w:sz w:val="24"/>
              <w:szCs w:val="24"/>
            </w:rPr>
            <w:fldChar w:fldCharType="separate"/>
          </w:r>
          <w:r>
            <w:rPr>
              <w:sz w:val="24"/>
              <w:szCs w:val="24"/>
            </w:rPr>
            <w:t>97</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_Toc11077 </w:instrText>
          </w:r>
          <w:r>
            <w:rPr>
              <w:rFonts w:ascii="Arial"/>
              <w:sz w:val="24"/>
              <w:szCs w:val="24"/>
            </w:rPr>
            <w:fldChar w:fldCharType="separate"/>
          </w:r>
          <w:r>
            <w:rPr>
              <w:rFonts w:hint="eastAsia"/>
              <w:sz w:val="24"/>
              <w:szCs w:val="24"/>
              <w:lang w:eastAsia="zh-CN"/>
            </w:rPr>
            <w:t>七、附件资料</w:t>
          </w:r>
          <w:r>
            <w:rPr>
              <w:sz w:val="24"/>
              <w:szCs w:val="24"/>
            </w:rPr>
            <w:tab/>
          </w:r>
          <w:r>
            <w:rPr>
              <w:sz w:val="24"/>
              <w:szCs w:val="24"/>
            </w:rPr>
            <w:fldChar w:fldCharType="begin"/>
          </w:r>
          <w:r>
            <w:rPr>
              <w:sz w:val="24"/>
              <w:szCs w:val="24"/>
            </w:rPr>
            <w:instrText xml:space="preserve"> PAGEREF _Toc11077 \h </w:instrText>
          </w:r>
          <w:r>
            <w:rPr>
              <w:sz w:val="24"/>
              <w:szCs w:val="24"/>
            </w:rPr>
            <w:fldChar w:fldCharType="separate"/>
          </w:r>
          <w:r>
            <w:rPr>
              <w:sz w:val="24"/>
              <w:szCs w:val="24"/>
            </w:rPr>
            <w:t>98</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_Toc23528 </w:instrText>
          </w:r>
          <w:r>
            <w:rPr>
              <w:rFonts w:ascii="Arial"/>
              <w:sz w:val="24"/>
              <w:szCs w:val="24"/>
            </w:rPr>
            <w:fldChar w:fldCharType="separate"/>
          </w:r>
          <w:r>
            <w:rPr>
              <w:rFonts w:hint="eastAsia"/>
              <w:sz w:val="24"/>
              <w:szCs w:val="24"/>
              <w:lang w:eastAsia="zh-CN"/>
            </w:rPr>
            <w:t>八、清单计量操作帮助文档</w:t>
          </w:r>
          <w:r>
            <w:rPr>
              <w:sz w:val="24"/>
              <w:szCs w:val="24"/>
            </w:rPr>
            <w:tab/>
          </w:r>
          <w:r>
            <w:rPr>
              <w:sz w:val="24"/>
              <w:szCs w:val="24"/>
            </w:rPr>
            <w:fldChar w:fldCharType="begin"/>
          </w:r>
          <w:r>
            <w:rPr>
              <w:sz w:val="24"/>
              <w:szCs w:val="24"/>
            </w:rPr>
            <w:instrText xml:space="preserve"> PAGEREF _Toc23528 \h </w:instrText>
          </w:r>
          <w:r>
            <w:rPr>
              <w:sz w:val="24"/>
              <w:szCs w:val="24"/>
            </w:rPr>
            <w:fldChar w:fldCharType="separate"/>
          </w:r>
          <w:r>
            <w:rPr>
              <w:sz w:val="24"/>
              <w:szCs w:val="24"/>
            </w:rPr>
            <w:t>99</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_Toc11533 </w:instrText>
          </w:r>
          <w:r>
            <w:rPr>
              <w:rFonts w:ascii="Arial"/>
              <w:sz w:val="24"/>
              <w:szCs w:val="24"/>
            </w:rPr>
            <w:fldChar w:fldCharType="separate"/>
          </w:r>
          <w:r>
            <w:rPr>
              <w:rFonts w:hint="eastAsia"/>
              <w:sz w:val="24"/>
              <w:szCs w:val="24"/>
              <w:lang w:eastAsia="zh-CN"/>
            </w:rPr>
            <w:t>九、计量与支付考题（理论</w:t>
          </w:r>
          <w:r>
            <w:rPr>
              <w:rFonts w:hint="eastAsia"/>
              <w:sz w:val="24"/>
              <w:szCs w:val="24"/>
              <w:lang w:val="en-US" w:eastAsia="zh-CN"/>
            </w:rPr>
            <w:t>+实训</w:t>
          </w:r>
          <w:r>
            <w:rPr>
              <w:rFonts w:hint="eastAsia"/>
              <w:sz w:val="24"/>
              <w:szCs w:val="24"/>
              <w:lang w:eastAsia="zh-CN"/>
            </w:rPr>
            <w:t>）</w:t>
          </w:r>
          <w:r>
            <w:rPr>
              <w:sz w:val="24"/>
              <w:szCs w:val="24"/>
            </w:rPr>
            <w:tab/>
          </w:r>
          <w:r>
            <w:rPr>
              <w:sz w:val="24"/>
              <w:szCs w:val="24"/>
            </w:rPr>
            <w:fldChar w:fldCharType="begin"/>
          </w:r>
          <w:r>
            <w:rPr>
              <w:sz w:val="24"/>
              <w:szCs w:val="24"/>
            </w:rPr>
            <w:instrText xml:space="preserve"> PAGEREF _Toc11533 \h </w:instrText>
          </w:r>
          <w:r>
            <w:rPr>
              <w:sz w:val="24"/>
              <w:szCs w:val="24"/>
            </w:rPr>
            <w:fldChar w:fldCharType="separate"/>
          </w:r>
          <w:r>
            <w:rPr>
              <w:sz w:val="24"/>
              <w:szCs w:val="24"/>
            </w:rPr>
            <w:t>100</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pPr>
          <w:r>
            <w:rPr>
              <w:rFonts w:ascii="Arial"/>
              <w:sz w:val="24"/>
              <w:szCs w:val="24"/>
            </w:rPr>
            <w:fldChar w:fldCharType="begin"/>
          </w:r>
          <w:r>
            <w:rPr>
              <w:rFonts w:ascii="Arial"/>
              <w:sz w:val="24"/>
              <w:szCs w:val="24"/>
            </w:rPr>
            <w:instrText xml:space="preserve"> HYPERLINK \l _Toc3871 </w:instrText>
          </w:r>
          <w:r>
            <w:rPr>
              <w:rFonts w:ascii="Arial"/>
              <w:sz w:val="24"/>
              <w:szCs w:val="24"/>
            </w:rPr>
            <w:fldChar w:fldCharType="separate"/>
          </w:r>
          <w:r>
            <w:rPr>
              <w:rFonts w:hint="eastAsia"/>
              <w:sz w:val="24"/>
              <w:szCs w:val="24"/>
              <w:lang w:eastAsia="zh-CN"/>
            </w:rPr>
            <w:t>十、评分细则</w:t>
          </w:r>
          <w:r>
            <w:rPr>
              <w:sz w:val="24"/>
              <w:szCs w:val="24"/>
            </w:rPr>
            <w:tab/>
          </w:r>
          <w:r>
            <w:rPr>
              <w:sz w:val="24"/>
              <w:szCs w:val="24"/>
            </w:rPr>
            <w:fldChar w:fldCharType="begin"/>
          </w:r>
          <w:r>
            <w:rPr>
              <w:sz w:val="24"/>
              <w:szCs w:val="24"/>
            </w:rPr>
            <w:instrText xml:space="preserve"> PAGEREF _Toc3871 \h </w:instrText>
          </w:r>
          <w:r>
            <w:rPr>
              <w:sz w:val="24"/>
              <w:szCs w:val="24"/>
            </w:rPr>
            <w:fldChar w:fldCharType="separate"/>
          </w:r>
          <w:r>
            <w:rPr>
              <w:sz w:val="24"/>
              <w:szCs w:val="24"/>
            </w:rPr>
            <w:t>101</w:t>
          </w:r>
          <w:r>
            <w:rPr>
              <w:sz w:val="24"/>
              <w:szCs w:val="24"/>
            </w:rPr>
            <w:fldChar w:fldCharType="end"/>
          </w:r>
          <w:r>
            <w:rPr>
              <w:rFonts w:ascii="Arial"/>
              <w:sz w:val="24"/>
              <w:szCs w:val="24"/>
            </w:rPr>
            <w:fldChar w:fldCharType="end"/>
          </w:r>
        </w:p>
        <w:p>
          <w:pPr>
            <w:spacing w:line="247" w:lineRule="auto"/>
            <w:rPr>
              <w:rFonts w:ascii="Arial"/>
            </w:rPr>
          </w:pPr>
          <w:r>
            <w:rPr>
              <w:rFonts w:ascii="Arial"/>
            </w:rPr>
            <w:fldChar w:fldCharType="end"/>
          </w:r>
        </w:p>
        <w:p>
          <w:pPr>
            <w:spacing w:line="247" w:lineRule="auto"/>
            <w:rPr>
              <w:rFonts w:ascii="Arial" w:hAnsi="Arial" w:eastAsia="Arial" w:cs="Arial"/>
              <w:snapToGrid w:val="0"/>
              <w:color w:val="000000"/>
              <w:kern w:val="0"/>
              <w:sz w:val="21"/>
              <w:szCs w:val="21"/>
            </w:rPr>
            <w:sectPr>
              <w:headerReference r:id="rId7" w:type="default"/>
              <w:footerReference r:id="rId8" w:type="default"/>
              <w:pgSz w:w="11906" w:h="16839"/>
              <w:pgMar w:top="400" w:right="999" w:bottom="1156" w:left="1087" w:header="0" w:footer="996" w:gutter="0"/>
              <w:pgNumType w:fmt="decimal"/>
              <w:cols w:space="720" w:num="1"/>
            </w:sectPr>
          </w:pPr>
        </w:p>
        <w:p>
          <w:pPr>
            <w:spacing w:line="247" w:lineRule="auto"/>
            <w:rPr>
              <w:rFonts w:ascii="Arial"/>
              <w:sz w:val="21"/>
            </w:rPr>
          </w:pPr>
        </w:p>
      </w:sdtContent>
    </w:sdt>
    <w:p>
      <w:pPr>
        <w:pStyle w:val="2"/>
        <w:bidi w:val="0"/>
        <w:outlineLvl w:val="1"/>
        <w:rPr>
          <w:rFonts w:ascii="Arial"/>
          <w:sz w:val="21"/>
        </w:rPr>
      </w:pPr>
      <w:bookmarkStart w:id="2" w:name="_Toc3231"/>
      <w:r>
        <w:rPr>
          <w:rFonts w:hint="eastAsia" w:ascii="宋体" w:hAnsi="宋体" w:eastAsia="宋体" w:cs="宋体"/>
        </w:rPr>
        <w:t>一</w:t>
      </w:r>
      <w:r>
        <w:rPr>
          <w:rFonts w:hint="eastAsia" w:ascii="宋体" w:hAnsi="宋体" w:eastAsia="宋体" w:cs="宋体"/>
          <w:lang w:eastAsia="zh-CN"/>
        </w:rPr>
        <w:t>、</w:t>
      </w:r>
      <w:r>
        <w:rPr>
          <w:rFonts w:hint="eastAsia" w:ascii="宋体" w:hAnsi="宋体" w:eastAsia="宋体" w:cs="宋体"/>
        </w:rPr>
        <w:t>工程项目概况</w:t>
      </w:r>
      <w:bookmarkEnd w:id="2"/>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1.项目编号：</w:t>
      </w:r>
      <w:r>
        <w:rPr>
          <w:rFonts w:hint="eastAsia" w:ascii="宋体" w:hAnsi="宋体" w:eastAsia="宋体" w:cs="宋体"/>
          <w:spacing w:val="8"/>
          <w:sz w:val="24"/>
          <w:szCs w:val="24"/>
          <w:lang w:val="en-US" w:eastAsia="zh-CN"/>
        </w:rPr>
        <w:t>010。</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2.项目名称：</w:t>
      </w:r>
      <w:r>
        <w:rPr>
          <w:rFonts w:hint="eastAsia" w:ascii="宋体" w:hAnsi="宋体" w:eastAsia="宋体" w:cs="宋体"/>
          <w:spacing w:val="8"/>
          <w:sz w:val="24"/>
          <w:szCs w:val="24"/>
          <w:lang w:val="en-US" w:eastAsia="zh-CN"/>
        </w:rPr>
        <w:t>010鲁能公馆项目</w:t>
      </w:r>
      <w:r>
        <w:rPr>
          <w:rFonts w:hint="eastAsia" w:ascii="宋体" w:hAnsi="宋体" w:eastAsia="宋体" w:cs="宋体"/>
          <w:spacing w:val="8"/>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3.建设单位：</w:t>
      </w:r>
      <w:r>
        <w:rPr>
          <w:rFonts w:hint="eastAsia" w:ascii="宋体" w:hAnsi="宋体" w:eastAsia="宋体" w:cs="宋体"/>
          <w:spacing w:val="8"/>
          <w:sz w:val="24"/>
          <w:szCs w:val="24"/>
          <w:lang w:val="en-US" w:eastAsia="zh-CN"/>
        </w:rPr>
        <w:t>010</w:t>
      </w:r>
      <w:r>
        <w:rPr>
          <w:rFonts w:hint="eastAsia" w:ascii="宋体" w:hAnsi="宋体" w:eastAsia="宋体" w:cs="宋体"/>
          <w:spacing w:val="8"/>
          <w:sz w:val="24"/>
          <w:szCs w:val="24"/>
          <w:lang w:eastAsia="zh-CN"/>
        </w:rPr>
        <w:t>美华房地产开发有限公司</w:t>
      </w:r>
      <w:r>
        <w:rPr>
          <w:rFonts w:hint="eastAsia" w:ascii="宋体" w:hAnsi="宋体" w:eastAsia="宋体" w:cs="宋体"/>
          <w:spacing w:val="8"/>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4.建设地点：</w:t>
      </w:r>
      <w:r>
        <w:rPr>
          <w:rFonts w:hint="eastAsia" w:ascii="宋体" w:hAnsi="宋体" w:eastAsia="宋体" w:cs="宋体"/>
          <w:spacing w:val="8"/>
          <w:sz w:val="24"/>
          <w:szCs w:val="24"/>
          <w:lang w:val="en-US" w:eastAsia="zh-CN"/>
        </w:rPr>
        <w:t>山东青岛城阳区</w:t>
      </w:r>
      <w:r>
        <w:rPr>
          <w:rFonts w:hint="eastAsia" w:ascii="宋体" w:hAnsi="宋体" w:eastAsia="宋体" w:cs="宋体"/>
          <w:spacing w:val="8"/>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5.建设规模：</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本工程共为两栋住宅楼，总建筑面积为24860.57㎡，高度为81.95米。其中1#栋采用剪力墙结构，架空层为3.6米，住宅为2.9米，地上建筑面积为9260.68㎡；2#栋采用剪力墙结构，架空层为3.6米，住宅为2.9米，地上建筑面积为9240.12㎡；地下室采用剪力墙结构，建筑面积为6359.77 ㎡。土地性质为：住宅用地。</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6.建设工期要求：</w:t>
      </w:r>
      <w:r>
        <w:rPr>
          <w:rFonts w:hint="eastAsia" w:ascii="宋体" w:hAnsi="宋体" w:eastAsia="宋体" w:cs="宋体"/>
          <w:spacing w:val="8"/>
          <w:sz w:val="24"/>
          <w:szCs w:val="24"/>
          <w:lang w:val="en-US" w:eastAsia="zh-CN"/>
        </w:rPr>
        <w:t>16个月</w:t>
      </w:r>
      <w:r>
        <w:rPr>
          <w:rFonts w:hint="eastAsia" w:ascii="宋体" w:hAnsi="宋体" w:eastAsia="宋体" w:cs="宋体"/>
          <w:spacing w:val="8"/>
          <w:sz w:val="24"/>
          <w:szCs w:val="24"/>
        </w:rPr>
        <w:t>，计划工期：2021年9月1日至2023年1月</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rPr>
        <w:t>日。</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7.建设计划总投资：</w:t>
      </w:r>
      <w:r>
        <w:rPr>
          <w:rFonts w:hint="eastAsia" w:ascii="宋体" w:hAnsi="宋体" w:eastAsia="宋体" w:cs="宋体"/>
          <w:i w:val="0"/>
          <w:iCs w:val="0"/>
          <w:snapToGrid w:val="0"/>
          <w:color w:val="000000"/>
          <w:kern w:val="0"/>
          <w:sz w:val="24"/>
          <w:szCs w:val="24"/>
          <w:u w:val="none"/>
          <w:lang w:val="en-US" w:eastAsia="zh-CN" w:bidi="ar"/>
        </w:rPr>
        <w:t>47000</w:t>
      </w:r>
      <w:r>
        <w:rPr>
          <w:rFonts w:hint="eastAsia" w:ascii="宋体" w:hAnsi="宋体" w:eastAsia="宋体" w:cs="宋体"/>
          <w:spacing w:val="8"/>
          <w:sz w:val="24"/>
          <w:szCs w:val="24"/>
        </w:rPr>
        <w:t>万元。</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8.建安费：</w:t>
      </w:r>
      <w:r>
        <w:rPr>
          <w:rFonts w:hint="eastAsia" w:ascii="宋体" w:hAnsi="宋体" w:eastAsia="宋体" w:cs="宋体"/>
          <w:spacing w:val="8"/>
          <w:sz w:val="24"/>
          <w:szCs w:val="24"/>
          <w:lang w:val="en-US" w:eastAsia="zh-CN"/>
        </w:rPr>
        <w:t>30244</w:t>
      </w:r>
      <w:r>
        <w:rPr>
          <w:rFonts w:hint="eastAsia" w:ascii="宋体" w:hAnsi="宋体" w:eastAsia="宋体" w:cs="宋体"/>
          <w:spacing w:val="8"/>
          <w:sz w:val="24"/>
          <w:szCs w:val="24"/>
        </w:rPr>
        <w:t>万元</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default"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9.投资性质：社会投资。</w:t>
      </w:r>
    </w:p>
    <w:p>
      <w:pPr>
        <w:rPr>
          <w:rFonts w:ascii="Arial"/>
          <w:sz w:val="21"/>
        </w:rPr>
      </w:pPr>
      <w:r>
        <w:rPr>
          <w:rFonts w:ascii="Arial"/>
          <w:sz w:val="21"/>
        </w:rPr>
        <w:br w:type="page"/>
      </w:r>
    </w:p>
    <w:p>
      <w:pPr>
        <w:spacing w:line="338" w:lineRule="auto"/>
        <w:rPr>
          <w:rFonts w:ascii="Arial"/>
          <w:sz w:val="21"/>
        </w:rPr>
      </w:pPr>
    </w:p>
    <w:p>
      <w:pPr>
        <w:pStyle w:val="2"/>
        <w:bidi w:val="0"/>
        <w:outlineLvl w:val="1"/>
        <w:rPr>
          <w:rFonts w:ascii="Arial"/>
          <w:sz w:val="21"/>
        </w:rPr>
      </w:pPr>
      <w:bookmarkStart w:id="3" w:name="_Toc22539"/>
      <w:r>
        <w:rPr>
          <w:rFonts w:hint="eastAsia" w:ascii="宋体" w:hAnsi="宋体" w:eastAsia="宋体" w:cs="宋体"/>
          <w:b/>
        </w:rPr>
        <w:t>二</w:t>
      </w:r>
      <w:r>
        <w:rPr>
          <w:rFonts w:hint="eastAsia" w:ascii="宋体" w:hAnsi="宋体" w:eastAsia="宋体" w:cs="宋体"/>
          <w:b/>
          <w:lang w:eastAsia="zh-CN"/>
        </w:rPr>
        <w:t>、</w:t>
      </w:r>
      <w:r>
        <w:rPr>
          <w:rFonts w:hint="eastAsia" w:ascii="宋体" w:hAnsi="宋体" w:eastAsia="宋体" w:cs="宋体"/>
          <w:b/>
        </w:rPr>
        <w:t>施工合同</w:t>
      </w:r>
      <w:bookmarkEnd w:id="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rPr>
      </w:pPr>
      <w:bookmarkStart w:id="4" w:name="_Toc11388"/>
      <w:bookmarkStart w:id="5" w:name="_Toc23612"/>
      <w:r>
        <w:rPr>
          <w:rFonts w:hint="eastAsia" w:ascii="宋体" w:hAnsi="宋体" w:eastAsia="宋体" w:cs="宋体"/>
          <w:b/>
          <w:bCs/>
          <w:spacing w:val="14"/>
          <w:sz w:val="24"/>
          <w:szCs w:val="24"/>
          <w:lang w:eastAsia="zh-CN"/>
        </w:rPr>
        <w:t>第一部分</w:t>
      </w:r>
      <w:r>
        <w:rPr>
          <w:rFonts w:hint="eastAsia" w:ascii="宋体" w:hAnsi="宋体" w:eastAsia="宋体" w:cs="宋体"/>
          <w:b/>
          <w:bCs/>
          <w:spacing w:val="14"/>
          <w:sz w:val="24"/>
          <w:szCs w:val="24"/>
          <w:lang w:val="en-US" w:eastAsia="zh-CN"/>
        </w:rPr>
        <w:t xml:space="preserve">  </w:t>
      </w:r>
      <w:r>
        <w:rPr>
          <w:rFonts w:hint="eastAsia" w:ascii="宋体" w:hAnsi="宋体" w:eastAsia="宋体" w:cs="宋体"/>
          <w:b/>
          <w:bCs/>
          <w:spacing w:val="14"/>
          <w:sz w:val="24"/>
          <w:szCs w:val="24"/>
        </w:rPr>
        <w:t>合同协议书</w:t>
      </w:r>
      <w:bookmarkEnd w:id="4"/>
      <w:bookmarkEnd w:id="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发包人（全称）：</w:t>
      </w:r>
      <w:r>
        <w:rPr>
          <w:rFonts w:hint="eastAsia" w:ascii="宋体" w:hAnsi="宋体" w:eastAsia="宋体" w:cs="宋体"/>
          <w:spacing w:val="14"/>
          <w:sz w:val="24"/>
          <w:szCs w:val="24"/>
          <w:lang w:val="en-US" w:eastAsia="zh-CN"/>
        </w:rPr>
        <w:t>010</w:t>
      </w:r>
      <w:r>
        <w:rPr>
          <w:rFonts w:hint="eastAsia" w:ascii="宋体" w:hAnsi="宋体" w:eastAsia="宋体" w:cs="宋体"/>
          <w:spacing w:val="14"/>
          <w:sz w:val="24"/>
          <w:szCs w:val="24"/>
          <w:lang w:eastAsia="zh-CN"/>
        </w:rPr>
        <w:t>美华房地产开发有限公司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承包人（全称）：</w:t>
      </w:r>
      <w:r>
        <w:rPr>
          <w:rFonts w:hint="eastAsia" w:ascii="宋体" w:hAnsi="宋体" w:eastAsia="宋体" w:cs="宋体"/>
          <w:spacing w:val="14"/>
          <w:sz w:val="24"/>
          <w:szCs w:val="24"/>
          <w:lang w:val="en-US" w:eastAsia="zh-CN"/>
        </w:rPr>
        <w:t>010</w:t>
      </w:r>
      <w:r>
        <w:rPr>
          <w:rFonts w:hint="eastAsia" w:ascii="宋体" w:hAnsi="宋体" w:eastAsia="宋体" w:cs="宋体"/>
          <w:spacing w:val="14"/>
          <w:sz w:val="24"/>
          <w:szCs w:val="24"/>
          <w:lang w:eastAsia="zh-CN"/>
        </w:rPr>
        <w:t>天辉建设集团有限公司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根据《民法典》、《中华人民共和国建筑法》及有关法律规定，遵循平等、自愿、公平和诚实信用的原则，双方就</w:t>
      </w:r>
      <w:r>
        <w:rPr>
          <w:rFonts w:hint="eastAsia" w:ascii="宋体" w:hAnsi="宋体" w:eastAsia="宋体" w:cs="宋体"/>
          <w:spacing w:val="8"/>
          <w:sz w:val="24"/>
          <w:szCs w:val="24"/>
          <w:lang w:eastAsia="zh-CN"/>
        </w:rPr>
        <w:t>鲁能公馆项目</w:t>
      </w:r>
      <w:r>
        <w:rPr>
          <w:rFonts w:hint="eastAsia" w:ascii="宋体" w:hAnsi="宋体" w:eastAsia="宋体" w:cs="宋体"/>
          <w:spacing w:val="14"/>
          <w:sz w:val="24"/>
          <w:szCs w:val="24"/>
        </w:rPr>
        <w:t>施工及有关事项协商一致，共同达成如下协议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一、工程概况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1 </w:t>
      </w:r>
      <w:r>
        <w:rPr>
          <w:rFonts w:hint="eastAsia" w:ascii="宋体" w:hAnsi="宋体" w:eastAsia="宋体" w:cs="宋体"/>
          <w:spacing w:val="14"/>
          <w:sz w:val="24"/>
          <w:szCs w:val="24"/>
          <w:lang w:eastAsia="zh-CN"/>
        </w:rPr>
        <w:t>合同</w:t>
      </w:r>
      <w:r>
        <w:rPr>
          <w:rFonts w:hint="eastAsia" w:ascii="宋体" w:hAnsi="宋体" w:eastAsia="宋体" w:cs="宋体"/>
          <w:spacing w:val="14"/>
          <w:sz w:val="24"/>
          <w:szCs w:val="24"/>
        </w:rPr>
        <w:t>名称：</w:t>
      </w:r>
      <w:r>
        <w:rPr>
          <w:rFonts w:hint="eastAsia" w:ascii="宋体" w:hAnsi="宋体" w:eastAsia="宋体" w:cs="宋体"/>
          <w:spacing w:val="14"/>
          <w:sz w:val="24"/>
          <w:szCs w:val="24"/>
          <w:lang w:eastAsia="zh-CN"/>
        </w:rPr>
        <w:t>010鲁能公馆项目施工合同</w:t>
      </w:r>
      <w:r>
        <w:rPr>
          <w:rFonts w:hint="eastAsia" w:ascii="宋体" w:hAnsi="宋体" w:eastAsia="宋体" w:cs="宋体"/>
          <w:spacing w:val="14"/>
          <w:sz w:val="24"/>
          <w:szCs w:val="24"/>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 合同编号：</w:t>
      </w:r>
      <w:r>
        <w:rPr>
          <w:rFonts w:hint="eastAsia" w:ascii="宋体" w:hAnsi="宋体" w:eastAsia="宋体" w:cs="宋体"/>
          <w:spacing w:val="14"/>
          <w:sz w:val="24"/>
          <w:szCs w:val="24"/>
          <w:lang w:val="en-US" w:eastAsia="zh-CN"/>
        </w:rPr>
        <w:t>010</w:t>
      </w:r>
      <w:r>
        <w:rPr>
          <w:rFonts w:hint="eastAsia" w:ascii="宋体" w:hAnsi="宋体" w:eastAsia="宋体" w:cs="宋体"/>
          <w:spacing w:val="14"/>
          <w:sz w:val="24"/>
          <w:szCs w:val="24"/>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 工程地点：</w:t>
      </w:r>
      <w:r>
        <w:rPr>
          <w:rFonts w:hint="eastAsia" w:ascii="宋体" w:hAnsi="宋体" w:eastAsia="宋体" w:cs="宋体"/>
          <w:spacing w:val="8"/>
          <w:sz w:val="24"/>
          <w:szCs w:val="24"/>
          <w:lang w:val="en-US" w:eastAsia="zh-CN"/>
        </w:rPr>
        <w:t>山东青岛城阳区</w:t>
      </w:r>
      <w:r>
        <w:rPr>
          <w:rFonts w:hint="eastAsia" w:ascii="宋体" w:hAnsi="宋体" w:eastAsia="宋体" w:cs="宋体"/>
          <w:spacing w:val="14"/>
          <w:sz w:val="24"/>
          <w:szCs w:val="24"/>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 资金来源：</w:t>
      </w:r>
      <w:r>
        <w:rPr>
          <w:rFonts w:hint="eastAsia" w:ascii="宋体" w:hAnsi="宋体" w:eastAsia="宋体" w:cs="宋体"/>
          <w:spacing w:val="14"/>
          <w:sz w:val="24"/>
          <w:szCs w:val="24"/>
          <w:lang w:val="en-US" w:eastAsia="zh-CN"/>
        </w:rPr>
        <w:t>社会投资</w:t>
      </w:r>
      <w:r>
        <w:rPr>
          <w:rFonts w:hint="eastAsia" w:ascii="宋体" w:hAnsi="宋体" w:eastAsia="宋体" w:cs="宋体"/>
          <w:spacing w:val="14"/>
          <w:sz w:val="24"/>
          <w:szCs w:val="24"/>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 工程内容：</w:t>
      </w:r>
      <w:r>
        <w:rPr>
          <w:rFonts w:hint="eastAsia" w:ascii="宋体" w:hAnsi="宋体" w:eastAsia="宋体" w:cs="宋体"/>
          <w:spacing w:val="8"/>
          <w:sz w:val="24"/>
          <w:szCs w:val="24"/>
          <w:lang w:val="en-US" w:eastAsia="zh-CN"/>
        </w:rPr>
        <w:t>鲁能公馆住宅楼建设工程</w:t>
      </w:r>
      <w:r>
        <w:rPr>
          <w:rFonts w:hint="eastAsia" w:ascii="宋体" w:hAnsi="宋体" w:eastAsia="宋体" w:cs="宋体"/>
          <w:spacing w:val="14"/>
          <w:sz w:val="24"/>
          <w:szCs w:val="24"/>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 工程承包范围：工程承包范围详见《技术标准和要求》部分。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二、合同工期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计划开工日期：</w:t>
      </w:r>
      <w:r>
        <w:rPr>
          <w:rFonts w:hint="eastAsia" w:ascii="宋体" w:hAnsi="宋体" w:eastAsia="宋体" w:cs="宋体"/>
          <w:spacing w:val="8"/>
          <w:sz w:val="24"/>
          <w:szCs w:val="24"/>
        </w:rPr>
        <w:t>20</w:t>
      </w:r>
      <w:r>
        <w:rPr>
          <w:rFonts w:hint="eastAsia" w:ascii="宋体" w:hAnsi="宋体" w:eastAsia="宋体" w:cs="宋体"/>
          <w:spacing w:val="8"/>
          <w:sz w:val="24"/>
          <w:szCs w:val="24"/>
          <w:lang w:val="en-US" w:eastAsia="zh-CN"/>
        </w:rPr>
        <w:t>21</w:t>
      </w:r>
      <w:r>
        <w:rPr>
          <w:rFonts w:hint="eastAsia" w:ascii="宋体" w:hAnsi="宋体" w:eastAsia="宋体" w:cs="宋体"/>
          <w:spacing w:val="8"/>
          <w:sz w:val="24"/>
          <w:szCs w:val="24"/>
        </w:rPr>
        <w:t>年</w:t>
      </w: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月</w:t>
      </w:r>
      <w:r>
        <w:rPr>
          <w:rFonts w:hint="eastAsia" w:ascii="宋体" w:hAnsi="宋体" w:eastAsia="宋体" w:cs="宋体"/>
          <w:spacing w:val="8"/>
          <w:sz w:val="24"/>
          <w:szCs w:val="24"/>
          <w:lang w:val="en-US" w:eastAsia="zh-CN"/>
        </w:rPr>
        <w:t>1</w:t>
      </w:r>
      <w:r>
        <w:rPr>
          <w:rFonts w:hint="eastAsia" w:ascii="宋体" w:hAnsi="宋体" w:eastAsia="宋体" w:cs="宋体"/>
          <w:spacing w:val="14"/>
          <w:sz w:val="24"/>
          <w:szCs w:val="24"/>
        </w:rPr>
        <w:t>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计划竣工日期：20</w:t>
      </w:r>
      <w:r>
        <w:rPr>
          <w:rFonts w:hint="eastAsia" w:ascii="宋体" w:hAnsi="宋体" w:eastAsia="宋体" w:cs="宋体"/>
          <w:spacing w:val="14"/>
          <w:sz w:val="24"/>
          <w:szCs w:val="24"/>
          <w:lang w:val="en-US" w:eastAsia="zh-CN"/>
        </w:rPr>
        <w:t>23</w:t>
      </w:r>
      <w:r>
        <w:rPr>
          <w:rFonts w:hint="eastAsia" w:ascii="宋体" w:hAnsi="宋体" w:eastAsia="宋体" w:cs="宋体"/>
          <w:spacing w:val="14"/>
          <w:sz w:val="24"/>
          <w:szCs w:val="24"/>
        </w:rPr>
        <w:t>年</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月1日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总日历天数：</w:t>
      </w:r>
      <w:r>
        <w:rPr>
          <w:rFonts w:hint="eastAsia" w:ascii="宋体" w:hAnsi="宋体" w:eastAsia="宋体" w:cs="宋体"/>
          <w:spacing w:val="14"/>
          <w:sz w:val="24"/>
          <w:szCs w:val="24"/>
          <w:lang w:val="en-US" w:eastAsia="zh-CN"/>
        </w:rPr>
        <w:t>487</w:t>
      </w:r>
      <w:r>
        <w:rPr>
          <w:rFonts w:hint="eastAsia" w:ascii="宋体" w:hAnsi="宋体" w:eastAsia="宋体" w:cs="宋体"/>
          <w:spacing w:val="14"/>
          <w:sz w:val="24"/>
          <w:szCs w:val="24"/>
        </w:rPr>
        <w:t>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三、质量标准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工程质量符合国家和工程所在地地方现行验收合格标准。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四、签约合同价与合同价格形式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1 签约合同暂定价为（人民币）：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red"/>
        </w:rPr>
      </w:pPr>
      <w:r>
        <w:rPr>
          <w:rFonts w:hint="eastAsia" w:ascii="宋体" w:hAnsi="宋体" w:eastAsia="宋体" w:cs="宋体"/>
          <w:spacing w:val="14"/>
          <w:sz w:val="24"/>
          <w:szCs w:val="24"/>
          <w:highlight w:val="none"/>
        </w:rPr>
        <w:t>（大写）叁亿零贰佰肆拾肆万壹仟贰佰捌拾玖元陆角；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（小写）￥</w:t>
      </w:r>
      <w:r>
        <w:rPr>
          <w:rFonts w:hint="eastAsia" w:ascii="宋体" w:hAnsi="宋体" w:eastAsia="宋体" w:cs="宋体"/>
          <w:spacing w:val="14"/>
          <w:sz w:val="24"/>
          <w:szCs w:val="24"/>
          <w:highlight w:val="none"/>
          <w:lang w:val="en-US" w:eastAsia="zh-CN"/>
        </w:rPr>
        <w:t>302441289.60</w:t>
      </w:r>
      <w:r>
        <w:rPr>
          <w:rFonts w:hint="eastAsia" w:ascii="宋体" w:hAnsi="宋体" w:eastAsia="宋体" w:cs="宋体"/>
          <w:spacing w:val="14"/>
          <w:sz w:val="24"/>
          <w:szCs w:val="24"/>
          <w:highlight w:val="none"/>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（1）</w:t>
      </w:r>
      <w:r>
        <w:rPr>
          <w:rFonts w:hint="eastAsia" w:ascii="宋体" w:hAnsi="宋体" w:eastAsia="宋体" w:cs="宋体"/>
          <w:spacing w:val="14"/>
          <w:sz w:val="24"/>
          <w:szCs w:val="24"/>
          <w:highlight w:val="none"/>
          <w:lang w:val="en-US" w:eastAsia="zh-CN"/>
        </w:rPr>
        <w:t>增值</w:t>
      </w:r>
      <w:r>
        <w:rPr>
          <w:rFonts w:hint="eastAsia" w:ascii="宋体" w:hAnsi="宋体" w:eastAsia="宋体" w:cs="宋体"/>
          <w:spacing w:val="14"/>
          <w:sz w:val="24"/>
          <w:szCs w:val="24"/>
          <w:highlight w:val="none"/>
        </w:rPr>
        <w:t xml:space="preserve">税为： ￥24747446.19元，增值税税率： </w:t>
      </w:r>
      <w:r>
        <w:rPr>
          <w:rFonts w:hint="eastAsia" w:ascii="宋体" w:hAnsi="宋体" w:eastAsia="宋体" w:cs="宋体"/>
          <w:spacing w:val="14"/>
          <w:sz w:val="24"/>
          <w:szCs w:val="24"/>
          <w:highlight w:val="none"/>
          <w:lang w:val="en-US" w:eastAsia="zh-CN"/>
        </w:rPr>
        <w:t>9</w:t>
      </w:r>
      <w:r>
        <w:rPr>
          <w:rFonts w:hint="eastAsia" w:ascii="宋体" w:hAnsi="宋体" w:eastAsia="宋体" w:cs="宋体"/>
          <w:spacing w:val="14"/>
          <w:sz w:val="24"/>
          <w:szCs w:val="24"/>
          <w:highlight w:val="none"/>
        </w:rPr>
        <w:t>%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（2）安全文明施工费：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人民币（大写）：叁仟贰佰伍拾陆万柒仟柒佰捌拾玖元壹角贰分（￥32567789.12元）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（3）材料和工程设备暂估价：</w:t>
      </w:r>
      <w:r>
        <w:rPr>
          <w:rFonts w:hint="eastAsia" w:ascii="宋体" w:hAnsi="宋体" w:eastAsia="宋体" w:cs="宋体"/>
          <w:spacing w:val="14"/>
          <w:sz w:val="24"/>
          <w:szCs w:val="24"/>
          <w:highlight w:val="none"/>
          <w:lang w:eastAsia="zh-CN"/>
        </w:rPr>
        <w:t>无</w:t>
      </w:r>
      <w:r>
        <w:rPr>
          <w:rFonts w:hint="eastAsia" w:ascii="宋体" w:hAnsi="宋体" w:eastAsia="宋体" w:cs="宋体"/>
          <w:spacing w:val="14"/>
          <w:sz w:val="24"/>
          <w:szCs w:val="24"/>
          <w:highlight w:val="none"/>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（4）专业工程暂估价金额：无。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（5）暂列金额：</w:t>
      </w:r>
      <w:r>
        <w:rPr>
          <w:rFonts w:hint="eastAsia" w:ascii="宋体" w:hAnsi="宋体" w:eastAsia="宋体" w:cs="宋体"/>
          <w:spacing w:val="14"/>
          <w:sz w:val="24"/>
          <w:szCs w:val="24"/>
          <w:highlight w:val="none"/>
          <w:lang w:eastAsia="zh-CN"/>
        </w:rPr>
        <w:t>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 合同价格形式：分部分项工程固定单价包干和措施费总价包干（其中安全文明施工费按相关文件执行），详见经承包人填写价格并为发包人所接受的工程量清单（即已标价工程量清单）。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五、项目经理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承包人项目经理：</w:t>
      </w:r>
      <w:r>
        <w:rPr>
          <w:rFonts w:hint="eastAsia" w:ascii="宋体" w:hAnsi="宋体" w:eastAsia="宋体" w:cs="宋体"/>
          <w:spacing w:val="14"/>
          <w:sz w:val="24"/>
          <w:szCs w:val="24"/>
          <w:lang w:eastAsia="zh-CN"/>
        </w:rPr>
        <w:t>天辉建设集团有限公司</w:t>
      </w:r>
      <w:r>
        <w:rPr>
          <w:rFonts w:hint="eastAsia" w:ascii="宋体" w:hAnsi="宋体" w:eastAsia="宋体" w:cs="宋体"/>
          <w:spacing w:val="14"/>
          <w:sz w:val="24"/>
          <w:szCs w:val="24"/>
        </w:rPr>
        <w:t>XXX。</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六、合同文件构成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本协议书与下列文件一起构成合同文件：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1．中标通知书（如果有）；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2．投标函及其附录（如果有）；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3．专用合同条款及其附件；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5．技术标准和要求；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6．图纸；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7．已标价工程量清单或预算书；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8．其他合同文件。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在合同订立及履行过程中形成的与合同有关的文件均构成合同文件组成部分。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上述各项合同文件包括合同当事人就该项合同文件所作出的补充和修改，属于同一类内容的文件，以最新签署的为准。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七、承诺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1．发包人承诺按照法律规定履行项目审批手续、筹集工程建设资金并按照合同约定的期限和方式支付合同价款。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3．发包人和承包人通过招投标形式签订合同的，双方理解并承诺不再就同一工程另行签订与合同实质性内容相背离的协议。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八、词语含义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本协议书中词语含义与第二部分通用合同条款中赋予的含义相同。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九、签订时间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本合同于2021年</w:t>
      </w:r>
      <w:r>
        <w:rPr>
          <w:rFonts w:hint="eastAsia" w:ascii="宋体" w:hAnsi="宋体" w:eastAsia="宋体" w:cs="宋体"/>
          <w:spacing w:val="14"/>
          <w:sz w:val="24"/>
          <w:szCs w:val="24"/>
          <w:lang w:val="en-US" w:eastAsia="zh-CN"/>
        </w:rPr>
        <w:t>8</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29</w:t>
      </w:r>
      <w:r>
        <w:rPr>
          <w:rFonts w:hint="eastAsia" w:ascii="宋体" w:hAnsi="宋体" w:eastAsia="宋体" w:cs="宋体"/>
          <w:spacing w:val="14"/>
          <w:sz w:val="24"/>
          <w:szCs w:val="24"/>
        </w:rPr>
        <w:t>日签订。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十、签订地点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lang w:val="en-US" w:eastAsia="zh-CN"/>
        </w:rPr>
        <w:t>18号公馆建筑</w:t>
      </w:r>
      <w:r>
        <w:rPr>
          <w:rFonts w:hint="eastAsia" w:ascii="宋体" w:hAnsi="宋体" w:eastAsia="宋体" w:cs="宋体"/>
          <w:spacing w:val="14"/>
          <w:sz w:val="24"/>
          <w:szCs w:val="24"/>
        </w:rPr>
        <w:t>工程</w:t>
      </w:r>
      <w:r>
        <w:rPr>
          <w:rFonts w:hint="eastAsia" w:ascii="宋体" w:hAnsi="宋体" w:eastAsia="宋体" w:cs="宋体"/>
          <w:spacing w:val="14"/>
          <w:sz w:val="24"/>
          <w:szCs w:val="24"/>
          <w:lang w:eastAsia="zh-CN"/>
        </w:rPr>
        <w:t>施工单位</w:t>
      </w:r>
      <w:r>
        <w:rPr>
          <w:rFonts w:hint="eastAsia" w:ascii="宋体" w:hAnsi="宋体" w:eastAsia="宋体" w:cs="宋体"/>
          <w:spacing w:val="14"/>
          <w:sz w:val="24"/>
          <w:szCs w:val="24"/>
        </w:rPr>
        <w:t>项目</w:t>
      </w:r>
      <w:r>
        <w:rPr>
          <w:rFonts w:hint="eastAsia" w:ascii="宋体" w:hAnsi="宋体" w:eastAsia="宋体" w:cs="宋体"/>
          <w:spacing w:val="14"/>
          <w:sz w:val="24"/>
          <w:szCs w:val="24"/>
          <w:lang w:eastAsia="zh-CN"/>
        </w:rPr>
        <w:t>经理</w:t>
      </w:r>
      <w:r>
        <w:rPr>
          <w:rFonts w:hint="eastAsia" w:ascii="宋体" w:hAnsi="宋体" w:eastAsia="宋体" w:cs="宋体"/>
          <w:spacing w:val="14"/>
          <w:sz w:val="24"/>
          <w:szCs w:val="24"/>
        </w:rPr>
        <w:t>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十一、补充协议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合同未尽事宜，合同当事人另行签订补充协议，补充协议是合同的组成部分。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十二、合同生效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本合同自发包人和承包人的法定代表人或其委托代理人签字并加盖单位公章后生效。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十三、合同份数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本合同正本5份，发包人执4份，承包人执1份；副本11份，发包人执4份，承包人执3份，监理人执3份，合同备案机关执1份。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  (公章)             承包人：  (公章)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法定代表人或其委托代理人：  法定代表人或其委托代理人：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（签字）                    （签字）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组织机构代码：            组织机构代码：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地  址：                  地  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邮政编码：                邮政编码：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              法定代表人：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委托代理人：              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  话：                  电  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传  真：                  传  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电子信箱：                电子信箱：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开户银行：                开户银行：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账  号：                  账  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rPr>
      </w:pPr>
      <w:r>
        <w:rPr>
          <w:rFonts w:hint="eastAsia" w:ascii="宋体" w:hAnsi="宋体" w:eastAsia="宋体" w:cs="宋体"/>
          <w:b/>
          <w:bCs/>
          <w:spacing w:val="14"/>
          <w:sz w:val="24"/>
          <w:szCs w:val="24"/>
        </w:rPr>
        <w:t>第二部分 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本工程通用合同条款按照《建设工程施工合同》（示范文本）（GF-2017-0201）的通用合同条款执行。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 一般约定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1.1词语定义与解释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合同协议书、通用合同条款、专用合同条款中的下列词语具有本款所赋予的含义：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1.1.1.2 合同协议书：是指构成合同的由发包人和承包人共同签署的称为“合同协议书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的书面文件。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1.1.1.3 中标通知书：是指构成合同的由发包人通知承包人中标的书面文件。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1.1.1.4 投标函：是指构成合同的由承包人填写并签署的用于投标的称为“投标函”的文件。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1.1.1.5 投标函附录：是指构成合同的附在投标函后的称为“投标函附录”的文件。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1.1.1.6 技术标准和要求：是指构成合同的施工应当遵守的或指导施工的国家、行业或地方的技术标准和要求，以及合同约定的技术标准和要求。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1.1.1.8 已标价工程量清单：是指构成合同的由承包人按照规定的格式和要求填写并标明价格的工程量清单，包括说明和表格。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1.1.1.9 预算书：是指构成合同的由承包人按照发包人规定的格式和要求编制的工程预算文件。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1.1.1.10 其他合同文件：是指经合同当事人约定的与工程施工有关的具有合同约束力的文件或书面协议。合同当事人可以在专用合同条款中进行约定。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合同当事人及其他相关方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1.1.2.1 合同当事人：是指发包人和（或）承包人。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1.1.2.2 发包人：是指与承包人签订合同协议书的当事人及取得该当事人资格的合法继承人。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1.1.2.3 承包人：是指与发包人签订合同协议书的，具有相应工程施工承包资质的当事人及取得该当事人资格的合法继承人。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1.1.2.4 监理人：是指在专用合同条款中指明的，受发包人委托按照法律规定进行工程监督管理的法人或其他组织。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1.1.2.5 设计人：是指在专用合同条款中指明的，受发包人委托负责工程设计并具备相应工程设计资质的法人或其他组织。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1.1.2.6 分包人：是指按照法律规定和合同约定，分包部分工程或工作，并与承包人签订分包合同的具有相应资质的法人。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1.1.2.7 发包人代表：是指由发包人任命并派驻施工现场在发包人授权范围内行使发包人权利的人。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1.1.2.8 项目经理：是指由承包人任命并派驻施工现场，在承包人授权范围内负责合同履行，且按照法律规定具有相应资格的项目负责人。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1.1.2.9 总监理工程师：是指由监理人任命并派驻施工现场进行工程监理的总负责人。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工程和设备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1.1.3.1 工程：是指与合同协议书中工程承包范围对应的永久工程和（或）临时工程。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1.1.3.2 永久工程：是指按合同约定建造并移交给发包人的工程，包括工程设备。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1.1.3.3 临时工程：是指为完成合同约定的永久工程所修建的各类临时性工程，不包括施工设备。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1.1.3.4 单位工程：是指在合同协议书中指明的，具备独立施工条件并能形成独立使用功能的永久工程。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1.1.3.5 工程设备：是指构成永久工程的机电设备、金属结构设备、仪器及其他类似的设备和装置。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1.1.3.6 施工设备：是指为完成合同约定的各项工作所需的设备、器具和其他物品，但不包括工程设备、临时工程和材料。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1.1.3.7 施工现场：是指用于工程施工的场所，以及在专用合同条款中指明作为施工场所组成部分的其他场所，包括永久占地和临时占地。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1.1.3.8临时设施：是指为完成合同约定的各项工作所服务的临时性生产和生活设施。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1.1.3.9 永久占地：是指专用合同条款中指明为实施工程需永久占用的土地。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1.1.3.10 临时占地：是指专用合同条款中指明为实施工程需要临时占用的土地。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 日期和期限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1.1.4.2 竣工日期：包括计划竣工日期和实际竣工日期。计划竣工日期是指合同协议书约定的竣工日期；实际竣工日期按照第13.2.3项〔竣工日期〕的约定确定。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1.1.4.3 工期：是指在合同协议书约定的承包人完成工程所需的期限，包括按照合同约定所作的期限变更。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1.1.4.4 缺陷责任期：是指承包人按照合同约定承担缺陷修复义务，且发包人预留质量保证金（已缴纳履约保证金的除外）的期限，自工程实际竣工日期起计算。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1.1.4.5 保修期：是指承包人按照合同约定对工程承担保修责任的期限，从工程竣工验收合格之日起计算。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1.1.4.6 基准日期：招标发包的工程以投标截止日前28天的日期为基准日期，直接发包的工程以合同签订日前28天的日期为基准日期。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1.1.4.7 天：除特别指明外，均指日历天。合同中按天计算时间的，开始当天不计入，从次日开始计算，期限最后一天的截止时间为当天24:00时。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 合同价格和费用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1.1.5.1 签约合同价：是指发包人和承包人在合同协议书中确定的总金额，包括安全文明施工费、暂估价及暂列金额等。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1.1.5.2 合同价格：是指发包人用于支付承包人按照合同约定完成承包范围内全部工作的金额，包括合同履行过程中按合同约定发生的价格变化。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1.1.5.3 费用：是指为履行合同所发生的或将要发生的所有必需的开支，包括管理费和应分摊的其他费用，但不包括利润。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1.1.5.4 暂估价：是指发包人在工程量清单或预算书中提供的用于支付必然发生但暂时不能确定价格的材料、工程设备的单价、专业工程以及服务工作的金额。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1.1.5.6 计日工：是指合同履行过程中，承包人完成发包人提出的零星工作或需要采用计日工计价的变更工作时，按合同中约定的单价计价的一种方式。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1.1.5.7 质量保证金：是指按照第15.3款〔质量保证金〕约定承包人用于保证其在缺陷责任期内履行缺陷修补义务的担保。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1.1.5.8 总价项目：是指在现行国家、行业以及地方的计量规则中无工程量计算规则，在已标价工程量清单或预算书中以总价或以费率形式计算的项目。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1.1.6.1 书面形式：是指合同文件、信函、电报、传真等可以有形地表现所载内容的形式。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1.2语言文字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合同以中国的汉语简体文字编写、解释和说明。合同当事人在专用合同条款中约定使用两种以上语言时，汉语为优先解释和说明合同的语言。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1.3法律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合同所称法律是指中华人民共和国法律、行政法规、部门规章，以及工程所在地的地方性法规、自治条例、单行条例和地方政府规章等。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合同当事人可以在专用合同条款中约定合同适用的其他规范性文件。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 标准和规范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1.4.1 适用于工程的国家标准、行业标准、工程所在地的地方性标准，以及相应的规范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规程等，合同当事人有特别要求的，应在专用合同条款中约定。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1.4.2 发包人要求使用国外标准、规范的，发包人负责提供原文版本和中文译本，并在专用合同条款中约定提供标准规范的名称、份数和时间。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 合同文件的优先顺序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组成合同的各项文件应互相解释，互为说明。除专用合同条款另有约定外，解释合同文件的优先顺序如下：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（1）合同协议书；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（2）中标通知书（如果有）；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（3）投标函及其附录（如果有）；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（4）专用合同条款及其附件；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（6）技术标准和要求；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（7）图纸；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（8）已标价工程量清单或预算书；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（9）其他合同文件。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上述各项合同文件包括合同当事人就该项合同文件所作出的补充和修改，属于同一类内容的文件，应以最新签署的为准。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在合同订立及履行过程中形成的与合同有关的文件均构成合同文件组成部分，并根据其性质确定优先解释顺序。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1.6图纸和承包人文件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图纸的提供和交底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因发包人未按合同约定提供图纸导致承包人费用增加和（或）工期延误的，按照第7.5.1项〔因发包人原因导致工期延误〕约定办理。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图纸的错误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1.6.3 图纸的修改和补充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图纸需要修改和补充的，应经图纸原设计人及审批部门同意，并由监理人在工程或工程相应部位施工前将修改后的图纸或补充图纸提交给承包人，承包人应按修改或补充后的图纸施工。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1.6.4 承包人文件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承包人应按照专用合同条款的约定提供应当由其编制的与工程施工有关的文件，并按照专用合同条款约定的期限、数量和形式提交监理人，并由监理人报送发包人。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1.6.5 图纸和承包人文件的保管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除专用合同条款另有约定外，承包人应在施工现场另外保存一套完整的图纸和承包人文件，供发包人、监理人及有关人员进行工程检查时使用。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1.7联络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 与合同有关的通知、批准、证明、证书、指示、指令、要求、请求、同意、意见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确定和决定等，均应采用书面形式，并应在合同约定的期限内送达接收人和送达地点。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 发包人和承包人应在专用合同条款中约定各自的送达接收人和送达地点。任何一方合同当事人指定的接收人或送达地点发生变动的，应提前3天以书面形式通知对方。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 发包人和承包人应当及时签收另一方送达至送达地点和指定接收人的来往信函。拒不签收的，由此增加的费用和（或）延误的工期由拒绝接收一方承担。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1.8严禁贿赂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合同当事人不得以贿赂或变相贿赂的方式，谋取非法利益或损害对方权益。因一方合同当事人的贿赂造成对方损失的，应赔偿损失，并承担相应的法律责任。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承包人不得与监理人或发包人聘请的第三方串通损害发包人利益。未经发包人书面同意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承包人不得为监理人提供合同约定以外的通讯设备、交通工具及其他任何形式的利益，不得向监理人支付报酬。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1.9化石、文物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发包人、监理人和承包人应按有关政府行政管理部门要求采取妥善的保护措施，由此增加的费用和（或）延误的工期由发包人承担。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承包人发现文物后不及时报告或隐瞒不报，致使文物丢失或损坏的，应赔偿损失，并承担相应的法律责任。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1.10交通运输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1.10.1 出入现场的权利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1.10.2 场外交通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1.10.3场内交通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场外交通和场内交通的边界由合同当事人在专用合同条款中约定。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1.10.4 超大件和超重件的运输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1.10.5 道路和桥梁的损坏责任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因承包人运输造成施工场地内外公共道路和桥梁损坏的，由承包人承担修复损坏的全部费用和可能引起的赔偿。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1.10.6 水路和航空运输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本款前述各项的内容适用于水路运输和航空运输，其中“道路”一词的涵义包括河道、航线、船闸、机场、码头、堤防以及水路或航空运输中其他相似结构物；“车辆”一词的涵义包括船舶和飞机等。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1.11知识产权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1.11.4 除专用合同条款另有约定外，承包人在合同签订前和签订时已确定采用的专利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专有技术、技术秘密的使用费已包含在签约合同价中。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1.12保密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除法律规定或合同另有约定外，未经发包人同意，承包人不得将发包人提供的图纸、文件以及声明需要保密的资料信息等商业秘密泄露给第三方。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除法律规定或合同另有约定外，未经承包人同意，发包人不得将承包人提供的技术秘密及声明需要保密的资料信息等商业秘密泄露给第三方。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1.13工程量清单错误的修正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除专用合同条款另有约定外，发包人提供的工程量清单，应被认为是准确的和完整的。出现下列情形之一时，发包人应予以修正，并相应调整合同价格：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（1）工程量清单存在缺项、漏项的；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（2）工程量清单偏差超出专用合同条款约定的工程量偏差范围的；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（3）未按照国家现行计量规范强制性规定计量的。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 发包人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2.1 许可或批准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因发包人原因未能及时办理完毕前述许可、批准或备案，由发包人承担由此增加的费用和（或）延误的工期，并支付承包人合理的利润。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 发包人代表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发包人代表不能按照合同约定履行其职责及义务，并导致合同无法继续正常履行的，承包人可以要求发包人撤换发包人代表。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不属于法定必须监理的工程，监理人的职权可以由发包人代表或发包人指定的其他人员行使。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2.3 发包人人员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发包人应要求在施工现场的发包人人员遵守法律及有关安全、质量、环境保护、文明施工等规定，并保障承包人免于承受因发包人人员未遵守上述要求给承包人造成的损失和责任。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发包人人员包括发包人代表及其他由发包人派驻施工现场的人员。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2.4 施工现场、施工条件和基础资料的提供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2.4.1 提供施工现场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除专用合同条款另有约定外，发包人应最迟于开工日期7天前向承包人移交施工现场。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2.4.2 提供施工条件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除专用合同条款另有约定外，发包人应负责提供施工所需要的条件，包括：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（1）将施工用水、电力、通讯线路等施工所必需的条件接至施工现场内；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（2）保证向承包人提供正常施工所需要的进入施工现场的交通条件；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（3）协调处理施工现场周围地下管线和邻近建筑物、构筑物、古树名木的保护工作，并承担相关费用；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（4）按照专用合同条款约定应提供的其他设施和条件。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2.4.3 提供基础资料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发包人应当在移交施工现场前向承包人提供施工现场及工程施工所必需的毗邻区域内供水、排水、供电、供气、供热、通信、广播电视等地下管线资料，气象和水文观测资料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地质勘察资料，相邻建筑物、构筑物和地下工程等有关基础资料，并对所提供资料的真实性、准确性和完整性负责。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按照法律规定确需在开工后方能提供的基础资料，发包人应尽其努力及时地在相应工程施工前的合理期限内提供，合理期限应以不影响承包人的正常施工为限。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2.4.4 逾期提供的责任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因发包人原因未能按合同约定及时向承包人提供施工现场、施工条件、基础资料的，由发包人承担由此增加的费用和（或）延误的工期。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2.5 资金来源证明及支付担保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除专用合同条款另有约定外，发包人应在收到承包人要求提供资金来源证明的书面通知后28天内，向承包人提供能够按照合同约定支付合同价款的相应资金来源证明。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2.6 支付合同价款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发包人应按合同约定向承包人及时支付合同价款。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2.7 组织竣工验收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发包人应按合同约定及时组织竣工验收。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2.8 现场统一管理协议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发包人应与承包人、由发包人直接发包的专业工程的承包人签订施工现场统一管理协议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明确各方的权利义务。施工现场统一管理协议作为专用合同条款的附件。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 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3.1 承包人的一般义务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承包人在履行合同过程中应遵守法律和工程建设标准规范，并履行以下义务：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（1）办理法律规定应由承包人办理的许可和批准，并将办理结果书面报送发包人留存；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（2）按法律规定和合同约定完成工程，并在保修期内承担保修义务；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（3）按法律规定和合同约定采取施工安全和环境保护措施，办理工伤保险，确保工程及人员、材料、设备和设施的安全；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（4）按合同约定的工作内容和施工进度要求，编制施工组织设计和施工措施计划，并对所有施工作业和施工方法的完备性和安全可靠性负责；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（6）按照第6.3款〔环境保护〕约定负责施工场地及其周边环境与生态的保护工作；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（7）按第6.1款〔安全文明施工〕约定采取施工安全措施，确保工程及其人员、材料、设备和设施的安全，防止因工程施工造成的人身伤害和财产损失；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（8）将发包人按合同约定支付的各项价款专用于合同工程，且应及时支付其雇用人员工资，并及时向分包人支付合同价款；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（9）按照法律规定和合同约定编制竣工资料，完成竣工资料立卷及归档，并按专用合同条款约定的竣工资料的套数、内容、时间等要求移交发包人；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（10）应履行的其他义务。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 项目经理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承包人不提交上述文件的，项目经理无权履行职责，发包人有权要求更换项目经理，由此增加的费用和（或）延误的工期由承包人承担。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承包人违反上述约定的，应按照专用合同条款的约定，承担违约责任。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 承包人人员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3.3.1 除专用合同条款另有约定外，承包人应在接到开工通知后7天内，向监理人提交承包人项目管理机构及施工现场人员安排的报告，其内容应包括合同管理、施工、技术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材料、质量、安全、财务等主要施工管理人员名单及其岗位、注册执业资格等，以及各工种技术工人的安排情况，并同时提交主要施工管理人员与承包人之间的劳动关系证明和缴纳社会保险的有效证明。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特殊工种作业人员均应持有相应的资格证明，监理人可以随时检查。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3.3.5 承包人擅自更换主要施工管理人员，或前述人员未经监理人或发包人同意擅自离开施工现场的，应按照专用合同条款约定承担违约责任。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3.4 承包人现场查勘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承包人应对基于发包人按照第2.4.3项〔提供基础资料〕提交的基础资料所做出的解释和推断负责，但因基础资料存在错误、遗漏导致承包人解释或推断失实的，由发包人承担责任。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 分包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3.5.1 分包的一般约定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承包人不得以劳务分包的名义转包或违法分包工程。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3.5.2 分包的确定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3.5.3 分包管理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承包人应向监理人提交分包人的主要施工管理人员表，并对分包人的施工人员进行实名制管理，包括但不限于进出场管理、登记造册以及各种证照的办理。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3.5.4 分包合同价款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（1）除本项第（2）目约定的情况或专用合同条款另有约定外，分包合同价款由承包人与分包人结算，未经承包人同意，发包人不得向分包人支付分包工程价款；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（2）生效法律文书要求发包人向分包人支付分包合同价款的，发包人有权从应付承包人工程款中扣除该部分款项。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3.5.5 分包合同权益的转让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3.6 工程照管与成品、半成品保护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（1）除专用合同条款另有约定外，自发包人向承包人移交施工现场之日起，承包人应负责照管工程及工程相关的材料、工程设备，直到颁发工程接收证书之日止。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（2）在承包人负责照管期间，因承包人原因造成工程、材料、工程设备损坏的，由承包人负责修复或更换，并承担由此增加的费用和（或）延误的工期。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3.7 履约担保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因承包人原因导致工期延长的，继续提供履约担保所增加的费用由承包人承担；非因承包人原因导致工期延长的，继续提供履约担保所增加的费用由发包人承担。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3.8 联合体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3.8.1 联合体各方应共同与发包人签订合同协议书。联合体各方应为履行合同向发包人承担连带责任。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3.8.2 联合体协议经发包人确认后作为合同附件。在履行合同过程中，未经发包人同意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不得修改联合体协议。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3.8.3 联合体牵头人负责与发包人和监理人联系，并接受指示，负责组织联合体各成员全面履行合同。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 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4.1监理人的一般规定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除专用合同条款另有约定外，监理人在施工现场的办公场所、生活场所由承包人提供，所发生的费用由发包人承担。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4.2监理人员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4.3监理人的指示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承包人对监理人发出的指示有疑问的，应向监理人提出书面异议，监理人应在48小时内对该指示予以确认、更改或撤销，监理人逾期未回复的，承包人有权拒绝执行上述指示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监理人对承包人的任何工作、工程或其采用的材料和工程设备未在约定的或合理期限内提出意见的，视为批准，但不免除或减轻承包人对该工作、工程、材料、工程设备等应承担的责任和义务。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4.4 商定或确定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合同当事人进行商定或确定时，总监理工程师应当会同合同当事人尽量通过协商达成一致，不能达成一致的，由总监理工程师按照合同约定审慎做出公正的确定。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 工程质量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5.1质量要求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5.1.1 工程质量标准必须符合现行国家有关工程施工质量验收规范和标准的要求。有关工程质量的特殊标准或要求由合同当事人在专用合同条款中约定。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5.1.2 因发包人原因造成工程质量未达到合同约定标准的，由发包人承担由此增加的费用和（或）延误的工期，并支付承包人合理的利润。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5.1.3 因承包人原因造成工程质量未达到合同约定标准的，发包人有权要求承包人返工直至工程质量达到合同约定的标准为止，并由承包人承担由此增加的费用和（或）延误的工期。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5.2质量保证措施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5.2.1 发包人的质量管理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发包人应按照法律规定及合同约定完成与工程质量有关的各项工作。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5.2.2 承包人的质量管理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承包人应对施工人员进行质量教育和技术培训，定期考核施工人员的劳动技能，严格执行施工规范和操作规程。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5.2.3 监理人的质量检查和检验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监理人的检查和检验不应影响施工正常进行。监理人的检查和检验影响施工正常进行的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且经检查检验不合格的，影响正常施工的费用由承包人承担，工期不予顺延；经检查检验合格的，由此增加的费用和（或）延误的工期由发包人承担。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 隐蔽工程检查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5.3.1承包人自检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承包人应当对工程隐蔽部位进行自检，并经自检确认是否具备覆盖条件。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5.3.2检查程序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5.3.3 重新检查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5.3.4 承包人私自覆盖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5.4不合格工程的处理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5.4.2 因发包人原因造成工程不合格的，由此增加的费用和（或）延误的工期由发包人承担，并支付承包人合理的利润。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5.5 质量争议检测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合同当事人对工程质量有争议的，由双方协商确定的工程质量检测机构鉴定，由此产生的费用及因此造成的损失，由责任方承担。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合同当事人均有责任的，由双方根据其责任分别承担。合同当事人无法达成一致的，按照第4.4款〔商定或确定〕执行。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 安全文明施工与环境保护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 安全文明施工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6.1.1 安全生产要求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因安全生产需要暂停施工的，按照第7.8款〔暂停施工〕的约定执行。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6.1.2 安全生产保证措施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承包人应当按照有关规定编制安全技术措施或者专项施工方案，建立安全生产责任制度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治安保卫制度及安全生产教育培训制度，并按安全生产法律规定及合同约定履行安全职责，如实编制工程安全生产的有关记录，接受发包人、监理人及政府安全监督部门的检查与监督。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6.1.3 特别安全生产事项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承包人在动力设备、输电线路、地下管道、密封防震车间、易燃易爆地段以及临街交通要道附近施工时，施工开始前应向发包人和监理人提出安全防护措施，经发包人认可后实施。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需单独编制危险性较大分部分项专项工程施工方案的，及要求进行专家论证的超过一定规模的危险性较大的分部分项工程，承包人应及时编制和组织论证。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6.1.4 治安保卫</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除专用合同条款另有约定外，发包人应与当地公安部门协商，在现场建立治安管理机构或联防组织，统一管理施工场地的治安保卫事项，履行合同工程的治安保卫职责。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发包人和承包人除应协助现场治安管理机构或联防组织维护施工场地的社会治安外，还应做好包括生活区在内的各自管辖区的治安保卫工作。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6.1.5 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6.1.6 安全文明施工费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安全文明施工费由发包人承担，发包人不得以任何形式扣减该部分费用。因基准日期后合同所适用的法律或政府有关规定发生变化，增加的安全文明施工费由发包人承担。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除专用合同条款另有约定外，发包人应在开工后28天内预付安全文明施工费总额的50%</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6.1.7 紧急情况处理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在工程实施期间或缺陷责任期内发生危及工程安全的事件，监理人通知承包人进行抢救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承包人声明无能力或不愿立即执行的，发包人有权雇佣其他人员进行抢救。此类抢救按合同约定属于承包人义务的，由此增加的费用和（或）延误的工期由承包人承担。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6.1.8 事故处理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 安全生产责任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6.1.9.1 发包人的安全责任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发包人应负责赔偿以下各种情况造成的损失：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（1）工程或工程的任何部分对土地的占用所造成的第三者财产损失；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（2）由于发包人原因在施工场地及其毗邻地带造成的第三者人身伤亡和财产损失；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（3）由于发包人原因对承包人、监理人造成的人员人身伤亡和财产损失；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（4）由于发包人原因造成的发包人自身人员的人身伤害以及财产损失。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6.1.9.2 承包人的安全责任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由于承包人原因在施工场地内及其毗邻地带造成的发包人、监理人以及第三者人员伤亡和财产损失，由承包人负责赔偿。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 职业健康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6.2.1 劳动保护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6.2.2 生活条件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6.3 环境保护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承包人应当承担因其原因引起的环境污染侵权损害赔偿责任，因上述环境污染引起纠纷而导致暂停施工的，由此增加的费用和（或）延误的工期由承包人承担。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 工期和进度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7.1施工组织设计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7.1.1 施工组织设计的内容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施工组织设计应包含以下内容：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（1）施工方案；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（2）施工现场平面布置图；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（3）施工进度计划和保证措施；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（4）劳动力及材料供应计划；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（5）施工机械设备的选用；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（6）质量保证体系及措施；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（7）安全生产、文明施工措施；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（8）环境保护、成本控制措施；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（9）合同当事人约定的其他内容。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7.1.2 施工组织设计的提交和修改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施工进度计划的编制和修改按照第7.2款〔施工进度计划〕执行。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 施工进度计划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7.2.1 施工进度计划的编制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7.2.2 施工进度计划的修订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 开工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7.3.1 开工准备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除专用合同条款另有约定外，合同当事人应按约定完成开工准备工作。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7.3.2 开工通知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7.4测量放线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承包人发现发包人提供的测量基准点、基准线和水准点及其书面资料存在错误或疏漏的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应及时通知监理人。监理人应及时报告发包人，并会同发包人和承包人予以核实。发包人应就如何处理和是否继续施工作出决定，并通知监理人和承包人。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施工过程中对施工现场内水准点等测量标志物的保护工作由承包人负责。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 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7.5.1 因发包人原因导致工期延误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在合同履行过程中，因下列情况导致工期延误和（或）费用增加的，由发包人承担由此延误的工期和（或）增加的费用，且发包人应支付承包人合理的利润：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（1）发包人未能按合同约定提供图纸或所提供图纸不符合合同约定的；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（2）发包人未能按合同约定提供施工现场、施工条件、基础资料、许可、批准等开工条件的；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（3）发包人提供的测量基准点、基准线和水准点及其书面资料存在错误或疏漏的；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（4）发包人未能在计划开工日期之日起7天内同意下达开工通知的；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（5）发包人未能按合同约定日期支付工程预付款、进度款或竣工结算款的；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（6）监理人未按合同约定发出指示、批准等文件的；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（7）专用合同条款中约定的其他情形。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7.5.2 因承包人原因导致工期延误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因承包人原因造成工期延误的，可以在专用合同条款中约定逾期竣工违约金的计算方法和逾期竣工违约金的上限。承包人支付逾期竣工违约金后，不免除承包人继续完成工程及修补缺陷的义务。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7.6 不利物质条件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7.7 异常恶劣的气候条件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 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7.8.1发包人原因引起的暂停施工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因发包人原因引起暂停施工的，监理人经发包人同意后，应及时下达暂停施工指示。情况紧急且监理人未及时下达暂停施工指示的，按照第7.8.4项〔紧急情况下的暂停施工〕执行。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因发包人原因引起的暂停施工，发包人应承担由此增加的费用和（或）延误的工期，并支付承包人合理的利润。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7.8.2 承包人原因引起的暂停施工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7.8.3 指示暂停施工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监理人认为有必要时，并经发包人批准后，可向承包人作出暂停施工的指示，承包人应按监理人指示暂停施工。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7.8.4 紧急情况下的暂停施工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7.8.5 暂停施工后的复工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暂停施工后，发包人和承包人应采取有效措施积极消除暂停施工的影响。在工程复工前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监理人会同发包人和承包人确定因暂停施工造成的损失，并确定工程复工条件。当工程具备复工条件时，监理人应经发包人批准后向承包人发出复工通知，承包人应按照复工通知要求复工。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承包人无故拖延和拒绝复工的，承包人承担由此增加的费用和（或）延误的工期；因发包人原因无法按时复工的，按照第7.5.1项〔因发包人原因导致工期延误〕约定办理。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7.8.6 暂停施工持续56天以上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7.8.7 暂停施工期间的工程照管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暂停施工期间，承包人应负责妥善照管工程并提供安全保障，由此增加的费用由责任方承担。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7.8.8 暂停施工的措施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暂停施工期间，发包人和承包人均应采取必要的措施确保工程质量及安全，防止因暂停施工扩大损失。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7.9提前竣工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7.9.1 发包人要求承包人提前竣工的，发包人应通过监理人向承包人下达提前竣工指示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发包人和监理人应在收到异议后7天内予以答复。任何情况下，发包人不得压缩合理工期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7.9.2 发包人要求承包人提前竣工，或承包人提出提前竣工的建议能够给发包人带来效益的，合同当事人可以在专用合同条款中约定提前竣工的奖励。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 材料与设备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8.1发包人供应材料与工程设备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发包人自行供应材料、工程设备的，应在签订合同时在专用合同条款的附件《发包人供应材料设备一览表》中明确材料、工程设备的品种、规格、型号、数量、单价、质量等级和送达地点。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8.2承包人采购材料与工程设备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承包人有权拒绝，并由发包人承担相应责任。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8.3材料与工程设备的接收与拒收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发包人提供的材料和工程设备的规格、数量或质量不符合合同约定的，或因发包人原因导致交货日期延误或交货地点变更等情况的，按照第16.1款〔发包人违约〕约定办理。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8.4.1 发包人供应材料与工程设备的保管与使用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发包人供应的材料和工程设备使用前，由承包人负责检验，检验费用由发包人承担，不合格的不得使用。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8.4.2 承包人采购材料与工程设备的保管与使用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承包人采购的材料和工程设备由承包人妥善保管，保管费用由承包人承担。法律规定材料和工程设备使用前必须进行检验或试验的，承包人应按监理人的要求进行检验或试验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检验或试验费用由承包人承担，不合格的不得使用。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发包人或监理人发现承包人使用不符合设计或有关标准要求的材料和工程设备时，有权要求承包人进行修复、拆除或重新采购，由此增加的费用和（或）延误的工期，由承包人承担。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8.5禁止使用不合格的材料和工程设备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8.5.1 监理人有权拒绝承包人提供的不合格材料或工程设备，并要求承包人立即进行更换。监理人应在更换后再次进行检查和检验，由此增加的费用和（或）延误的工期由承包人承担。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8.5.2 监理人发现承包人使用了不合格的材料和工程设备，承包人应按照监理人的指示立即改正，并禁止在工程中继续使用不合格的材料和工程设备。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8.5.3 发包人提供的材料或工程设备不符合合同要求的，承包人有权拒绝，并可要求发包人更换，由此增加的费用和（或）延误的工期由发包人承担，并支付承包人合理的利润。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 样品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8.6.1</w:t>
      </w:r>
      <w:r>
        <w:rPr>
          <w:rFonts w:hint="eastAsia" w:ascii="宋体" w:hAnsi="宋体" w:eastAsia="宋体" w:cs="宋体"/>
          <w:spacing w:val="14"/>
          <w:sz w:val="24"/>
          <w:szCs w:val="24"/>
        </w:rPr>
        <w:tab/>
      </w:r>
      <w:r>
        <w:rPr>
          <w:rFonts w:hint="eastAsia" w:ascii="宋体" w:hAnsi="宋体" w:eastAsia="宋体" w:cs="宋体"/>
          <w:spacing w:val="14"/>
          <w:sz w:val="24"/>
          <w:szCs w:val="24"/>
        </w:rPr>
        <w:t>样品的报送与封存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需要承包人报送样品的材料或工程设备，样品的种类、名称、规格、数量等要求均应在专用合同条款中约定。样品的报送程序如下：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（3）经发包人和监理人审批确认的样品应按约定的方法封样，封存的样品作为检验工程相关部分的标准之一。承包人在施工过程中不得使用与样品不符的材料或工程设备。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8.6.2 样品的保管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经批准的样品应由监理人负责封存于现场，承包人应在现场为保存样品提供适当和固定的场所并保持适当和良好的存储环境条件。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8.7材料与工程设备的替代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8.7.1 出现下列情况需要使用替代材料和工程设备的，承包人应按照第8.7.2项约定的程序执行：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（1）基准日期后生效的法律规定禁止使用的；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（2）发包人要求使用替代品的；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（3）因其他原因必须使用替代品的。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8.7.2 承包人应在使用替代材料和工程设备28天前书面通知监理人，并附下列文件：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（1）被替代的材料和工程设备的名称、数量、规格、型号、品牌、性能、价格及其他相关资料；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（2）替代品的名称、数量、规格、型号、品牌、性能、价格及其他相关资料；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（3）替代品与被替代产品之间的差异以及使用替代品可能对工程产生的影响；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（4）替代品与被替代产品的价格差异；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（5）使用替代品的理由和原因说明；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（6）监理人要求的其他文件。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监理人应在收到通知后14天内向承包人发出经发包人签认的书面指示；监理人逾期发出书面指示的，视为发包人和监理人同意使用替代品。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8.8.1 承包人提供的施工设备和临时设施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承包人应按合同进度计划的要求，及时配置施工设备和修建临时设施。进入施工场地的承包人设备需经监理人核查后才能投入使用。承包人更换合同约定的承包人设备的，应报监理人批准。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除专用合同条款另有约定外，承包人应自行承担修建临时设施的费用，需要临时占地的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应由发包人办理申请手续并承担相应费用。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8.8.2发包人提供的施工设备和临时设施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发包人提供的施工设备或临时设施在专用合同条款中约定。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8.8.3要求承包人增加或更换施工设备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承包人使用的施工设备不能满足合同进度计划和（或）质量要求时，监理人有权要求承包人增加或更换施工设备，承包人应及时增加或更换，由此增加的费用和（或）延误的工期由承包人承担。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8.9材料与设备专用要求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 试验与检验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9.1试验设备与试验人员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9.1.2 承包人应按专用合同条款的约定提供试验设备、取样装置、试验场所和试验条件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并向监理人提交相应进场计划表。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承包人配置的试验设备要符合相应试验规程的要求并经过具有资质的检测单位检测，且在正式使用该试验设备前，需要经过监理人与承包人共同校定。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9.1.3 承包人应向监理人提交试验人员的名单及其岗位、资格等证明资料，试验人员必须能够熟练进行相应的检测试验，承包人对试验人员的试验程序和试验结果的正确性负责。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9.2取样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试验属于自检性质的，承包人可以单独取样。试验属于监理人抽检性质的，可由监理人取样，也可由承包人的试验人员在监理人的监督下取样。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9.3材料、工程设备和工程的试验和检验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9.4现场工艺试验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承包人应按合同约定或监理人指示进行现场工艺试验。对大型的现场工艺试验，监理人认为必要时，承包人应根据监理人提出的工艺试验要求，编制工艺试验措施计划，报送监理人审查。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 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10.1变更的范围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除专用合同条款另有约定外，合同履行过程中发生以下情形的，应按照本条约定进行变更：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（1）增加或减少合同中任何工作，或追加额外的工作；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（2）取消合同中任何工作，但转由他人实施的工作除外；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（3）改变合同中任何工作的质量标准或其他特性；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（4）改变工程的基线、标高、位置和尺寸；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（5）改变工程的时间安排或实施顺序。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10.2变更权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发包人和监理人均可以提出变更。变更指示均通过监理人发出，监理人发出变更指示前应征得发包人同意。承包人收到经发包人签认的变更指示后，方可实施变更。未经许可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承包人不得擅自对工程的任何部分进行变更。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涉及设计变更的，应由设计人提供变更后的图纸和说明。如变更超过原设计标准或批准的建设规模时，发包人应及时办理规划、设计变更等审批手续。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10.3变更程序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10.3.1 发包人提出变更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发包人提出变更的，应通过监理人向承包人发出变更指示，变更指示应说明计划变更的工程范围和变更的内容。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10.3.2 监理人提出变更建议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监理人提出变更建议的，需要向发包人以书面形式提出变更计划，说明计划变更工程范围和变更的内容、理由，以及实施该变更对合同价格和工期的影响。发包人同意变更的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由监理人向承包人发出变更指示。发包人不同意变更的，监理人无权擅自发出变更指示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10.3.3 变更执行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10.4变更估价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10.4.1 变更估价原则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除专用合同条款另有约定外，变更估价按照本款约定处理：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（1）已标价工程量清单或预算书有相同项目的，按照相同项目单价认定；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（2）已标价工程量清单或预算书中无相同项目，但有类似项目的，参照类似项目的单价认定；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（3）变更导致实际完成的变更工程量与已标价工程量清单或预算书中列明的该项目工程量的变化幅度超过15%的，或已标价工程量清单或预算书中无相同项目及类似项目单价的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按照合理的成本与利润构成的原则，由合同当事人按照第4.4款〔商定或确定〕确定变更工作的单价。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10.4.2 变更估价程序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因变更引起的价格调整应计入最近一期的进度款中支付。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10.5承包人的合理化建议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承包人提出合理化建议的，应向监理人提交合理化建议说明，说明建议的内容和理由，以及实施该建议对合同价格和工期的影响。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合理化建议降低了合同价格或者提高了工程经济效益的，发包人可对承包人给予奖励，奖励的方法和金额在专用合同条款中约定。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10.6变更引起的工期调整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因变更引起工期变化的，合同当事人均可要求调整合同工期，由合同当事人按照第4.4款〔商定或确定〕并参考工程所在地的工期定额标准确定增减工期天数。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10.7暂估价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暂估价专业分包工程、服务、材料和工程设备的明细由合同当事人在专用合同条款中约定。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10.7.1 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对于依法必须招标的暂估价项目，采取以下第1种方式确定。合同当事人也可以在专用合同条款中选择其他招标方式。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第1种方式：对于依法必须招标的暂估价项目，由承包人招标，对该暂估价项目的确认和批准按照以下约定执行：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10.7.2不属于依法必须招标的暂估价项目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除专用合同条款另有约定外，对于不属于依法必须招标的暂估价项目，采取以下第1种方式确定：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第1种方式：对于不属于依法必须招标的暂估价项目，按本项约定确认和批准：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（2）发包人认为承包人确定的供应商、分包人无法满足工程质量或合同要求的，发包人可以要求承包人重新确定暂估价项目的供应商、分包人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（3）承包人应当在签订暂估价合同后7天内，将暂估价合同副本报送发包人留存。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第2种方式：承包人按照第10.7.1项〔依法必须招标的暂估价项目〕约定的第1种方式确定暂估价项目。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第3种方式：承包人直接实施的暂估价项目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承包人具备实施暂估价项目的资格和条件的，经发包人和承包人协商一致后，可由承包人自行实施暂估价项目，合同当事人可以在专用合同条款约定具体事项。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10.8暂列金额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暂列金额应按照发包人的要求使用，发包人的要求应通过监理人发出。合同当事人可以在专用合同条款中协商确定有关事项。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10.9计日工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采用计日工计价的任何一项工作，承包人应在该项工作实施过程中，每天提交以下报表和有关凭证报送监理人审查：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（1）工作名称、内容和数量；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（2）投入该工作的所有人员的姓名、专业、工种、级别和耗用工时；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（3）投入该工作的材料类别和数量；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（4）投入该工作的施工设备型号、台数和耗用台时；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（5）其他有关资料和凭证。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计日工由承包人汇总后，列入最近一期进度付款申请单，由监理人审查并经发包人批准后列入进度付款。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 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11.1市场价格波动引起的调整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除专用合同条款另有约定外，市场价格波动超过合同当事人约定的范围，合同价格应当调整。合同当事人可以在专用合同条款中约定选择以下一种方式对合同价格进行调整：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第1种方式：采用价格指数进行价格调整。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（1）价格调整公式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因人工、材料和设备等价格波动影响合同价格时，根据专用合同条款中约定的数据，按以下公式计算差额并调整合同价格：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color w:val="auto"/>
          <w:sz w:val="24"/>
          <w:szCs w:val="24"/>
          <w:highlight w:val="none"/>
        </w:rPr>
        <w:drawing>
          <wp:inline distT="0" distB="0" distL="114300" distR="114300">
            <wp:extent cx="2314575" cy="447675"/>
            <wp:effectExtent l="0" t="0" r="0" b="825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5"/>
                    <a:stretch>
                      <a:fillRect/>
                    </a:stretch>
                  </pic:blipFill>
                  <pic:spPr>
                    <a:xfrm>
                      <a:off x="0" y="0"/>
                      <a:ext cx="2314575" cy="447675"/>
                    </a:xfrm>
                    <a:prstGeom prst="rect">
                      <a:avLst/>
                    </a:prstGeom>
                  </pic:spPr>
                </pic:pic>
              </a:graphicData>
            </a:graphic>
          </wp:inline>
        </w:drawing>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公式中：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1)△P——需调整的价格差额；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Po——中期支付证书中承包人应得到的已完成工程量的金额。此项金额应不包括价格调整，不计质量保证金的扣留与支付、开工预付款的支付与扣回。约定的工程变更及其他金额已按现行价格计价的也不计在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3)A——定值权重（即不调部分的权重）；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4)B1； B2 ；B3……Bn——各可调因子的变值权重（即可调部分的权重）为各可调因子在投标函投标总报价中所占的比例；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5)Ft1；Ft2；Ft3……Ftn ——各可调因子的现行价格指数，由发承包双方在合同中约定，一般为进度款支付前28天的各可调因子的价格指数；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Fo1；Fo2；Fo3……Fon——各可调因子的基本价格指数，指基准日期的各可调因子的价格指数。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（2）暂时确定调整差额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在计算调整差额时无现行价格指数的，合同当事人同意暂用前次价格指数计算。实际价格指数有调整的，合同当事人进行相应调整。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（3）权重的调整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因变更导致合同约定的权重不合理时，按照第4.4款〔商定或确定〕执行。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（4）因承包人原因工期延误后的价格调整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因承包人原因未按期竣工的，对合同约定的竣工日期后继续施工的工程，在使用价格调整公式时，应采用计划竣工日期与实际竣工日期的两个价格指数中较低的一个作为现行价格指数。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第2种方式：采用造价信息进行价格调整。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（2）材料、工程设备价格变化的价款调整按照发包人提供的基准价格，按以下风险范围规定执行: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③承包人在已标价工程量清单或预算书中载明材料单价等于基准价格的：除专用合同条款另有约定外，合同履行期间材料单价涨跌幅以基准价格为基础超过±5%时，其超过部分据实调整。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前述基准价格是指由发包人在招标文件或专用合同条款中给定的材料、工程设备的价格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该价格原则上应当按照省级或行业建设主管部门或其授权的工程造价管理机构发布的信息价编制。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（3）施工机械台班单价或施工机械使用费发生变化超过省级或行业建设主管部门或其授权的工程造价管理机构规定的范围时，按规定调整合同价格。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第3种方式：专用合同条款约定的其他方式。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11.2法律变化引起的调整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因法律变化引起的合同价格和工期调整，合同当事人无法达成一致的，由总监理工程师按第4.4款〔商定或确定〕的约定处理。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因承包人原因造成工期延误，在工期延误期间出现法律变化的，由此增加的费用和（或）延误的工期由承包人承担。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 合同价格、计量与支付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12.1 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发包人和承包人应在合同协议书中选择下列一种合同价格形式：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1.单价合同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3.其它价格形式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合同当事人可在专用合同条款中约定其他合同价格形式。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12.2.1预付款的支付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预付款的支付按照专用合同条款约定执行，但至迟应在开工通知载明的开工日期7天前支付。预付款应当用于材料、工程设备、施工设备的采购及修建临时工程、组织施工队伍进场等。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除专用合同条款另有约定外，预付款在进度付款中同比例扣回。在颁发工程接收证书前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提前解除合同的，尚未扣完的预付款应与合同价款一并结算。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发包人逾期支付预付款超过7天的，承包人有权向发包人发出要求预付的催告通知，发包人收到通知后7天内仍未支付的，承包人有权暂停施工，并按第16.1.1项〔发包人违约的情形〕执行。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12.2.2 预付款担保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发包人在工程款中逐期扣回预付款后，预付款担保额度应相应减少，但剩余的预付款担保金额不得低于未被扣回的预付款金额。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12.3.1 计量原则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工程量计量按照合同约定的工程量计算规则、图纸及变更指示等进行计量。工程量计算规则应以相关的国家标准、行业标准等为依据，由合同当事人在专用合同条款中约定。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12.3.2 计量周期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除专用合同条款另有约定外，工程量的计量按月进行。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12.3.3 单价合同的计量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除专用合同条款另有约定外，单价合同的计量按照本项约定执行：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（1）承包人应于每月25日向监理人报送上月20日至当月19日已完成的工程量报告，并附具进度付款申请单、已完成工程量报表和有关资料。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（3）监理人未在收到承包人提交的工程量报表后的7天内完成审核的，承包人报送的工程量报告中的工程量视为承包人实际完成的工程量，据此计算工程价款。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12.3.4 总价合同的计量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除专用合同条款另有约定外，按月计量支付的总价合同，按照本项约定执行：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（1）承包人应于每月25日向监理人报送上月20日至当月19日已完成的工程量报告，并附具进度付款申请单、已完成工程量报表和有关资料。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（3）监理人未在收到承包人提交的工程量报表后的7天内完成复核的，承包人提交的工程量报告中的工程量视为承包人实际完成的工程量。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12.3.5 总价合同采用支付分解表计量支付的，可以按照第12.3.4项〔总价合同的计量〕约定进行计量，但合同价款按照支付分解表进行支付。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12.3.6 其他价格形式合同的计量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合同当事人可在专用合同条款中约定其他价格形式合同的计量方式和程序。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12.4工程进度款支付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12.4.1 付款周期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除专用合同条款另有约定外，付款周期应按照第12.3.2项〔计量周期〕的约定与计量周期保持一致。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12.4.2 进度付款申请单的编制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除专用合同条款另有约定外，进度付款申请单应包括下列内容：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（1）截至本次付款周期已完成工作对应的金额；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（2）根据第10条〔变更〕应增加和扣减的变更金额；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（3）根据第12.2款〔预付款〕约定应支付的预付款和扣减的返还预付款；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（4）根据第15.3款〔质量保证金〕约定应扣减的质量保证金；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（5）根据第19条〔索赔〕应增加和扣减的索赔金额；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（6）对已签发的进度款支付证书中出现错误的修正，应在本次进度付款中支付或扣除的金额；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（7）根据合同约定应增加和扣减的其他金额。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12.4.3 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（1）单价合同进度付款申请单的提交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总价合同按月计量支付的，承包人按照第12.3.4项〔总价合同的计量〕约定的时间按月向监理人提交进度付款申请单，并附上已完成工程量报表和有关资料。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总价合同按支付分解表支付的，承包人应按照第12.4.6项〔支付分解表〕及第12.4.2项〔进度付款申请单的编制〕的约定向监理人提交进度付款申请单。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（3）其他价格形式合同的进度付款申请单的提交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合同当事人可在专用合同条款中约定其他价格形式合同的进度付款申请单的编制和提交程序。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12.4.4 进度款审核和支付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（3）发包人签发进度款支付证书或临时进度款支付证书，不表明发包人已同意、批准或接受了承包人完成的相应部分的工作。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12.4.5 进度付款的修正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在对已签发的进度款支付证书进行阶段汇总和复核中发现错误、遗漏或重复的，发包人和承包人均有权提出修正申请。经发包人和承包人同意的修正，应在下期进度付款中支付或扣除。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12.4.6 支付分解表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1.支付分解表的编制要求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（1）支付分解表中所列的每期付款金额，应为第12.4.2项〔进度付款申请单的编制〕第（1）目的估算金额；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（2）实际进度与施工进度计划不一致的，合同当事人可按照第4.4款〔商定或确定〕修改支付分解表；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（3）不采用支付分解表的，承包人应向发包人和监理人提交按季度编制的支付估算分解表，用于支付参考。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2.总价合同支付分解表的编制与审批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（2）监理人应在收到支付分解表后7天内完成审核并报送发包人。发包人应在收到经监理人审核的支付分解表后7天内完成审批，经发包人批准的支付分解表为有约束力的支付分解表。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（3）发包人逾期未完成支付分解表审批的，也未及时要求承包人进行修正和提供补充资料的，则承包人提交的支付分解表视为已经获得发包人批准。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3.单价合同的总价项目支付分解表的编制与审批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12.5支付账户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发包人应将合同价款支付至合同协议书中约定的承包人账户。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 验收和工程试车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13.1分部分项工程验收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13.1.1 分部分项工程质量应符合国家有关工程施工验收规范、标准及合同约定，承包人应按照施工组织设计的要求完成分部分项工程施工。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也未提出延期要求的，承包人有权自行验收，监理人应认可验收结果。分部分项工程未经验收的，不得进入下一道工序施工。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分部分项工程的验收资料应当作为竣工资料的组成部分。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13.2.1竣工验收条件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工程具备以下条件的，承包人可以申请竣工验收：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（1）除发包人同意的甩项工作和缺陷修补工作外，合同范围内的全部工程以及有关工作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包括合同要求的试验、试运行以及检验均已完成，并符合合同要求；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（2）已按合同约定编制了甩项工作和缺陷修补工作清单以及相应的施工计划；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（3）已按合同约定的内容和份数备齐竣工资料。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13.2.2竣工验收程序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除专用合同条款另有约定外，承包人申请竣工验收的，应当按照以下程序进行：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（3）竣工验收合格的，发包人应在验收合格后14天内向承包人签发工程接收证书。发包人无正当理由逾期不颁发工程接收证书的，自验收合格后第15天起视为已颁发工程接收证书。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除专用合同条款另有约定外，发包人不按照本项约定组织竣工验收、颁发工程接收证书的，每逾期一天，应以签约合同价为基数，按照中国人民银行发布的同期同类贷款基准利率支付违约金。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13.2.3竣工日期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13.2.4 拒绝接收全部或部分工程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13.2.5 移交、接收全部与部分工程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除专用合同条款另有约定外，合同当事人应当在颁发工程接收证书后7天内完成工程的移交。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承包人无正当理由不移交工程的，承包人应承担工程照管、成品保护、保管等与工程有关的各项费用，合同当事人可以在专用合同条款中另行约定承包人无正当理由不移交工程的违约责任。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13.3工程试车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13.3.1试车程序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工程需要试车的，除专用合同条款另有约定外，试车内容应与承包人承包范围相一致，试车费用由承包人承担。工程试车应按如下程序进行：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13.3.2 试车中的责任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13.3.3 投料试车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如需进行投料试车的，发包人应在工程竣工验收后组织投料试车。发包人要求在工程竣工验收前进行或需要承包人配合时，应征得承包人同意，并在专用合同条款中约定有关事项。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13.4提前交付单位工程的验收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13.4.1 发包人需要在工程竣工前使用单位工程的，或承包人提出提前交付已经竣工的单位工程且经发包人同意的，可进行单位工程验收，验收的程序按照第13.2款〔竣工验收〕的约定进行。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13.4.2 发包人要求在工程竣工前交付单位工程，由此导致承包人费用增加和（或）工期延误的，由发包人承担由此增加的费用和（或）延误的工期，并支付承包人合理的利润。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13.5 施工期运行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13.5.2 在施工期运行中发现工程或工程设备损坏或存在缺陷的，由承包人按第15.2款〔缺陷责任期〕约定进行修复。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 竣工退场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13.6.1 竣工退场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颁发工程接收证书后，承包人应按以下要求对施工现场进行清理：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（1）施工现场内残留的垃圾已全部清除出场；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（2）临时工程已拆除，场地已进行清理、平整或复原；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（3）按合同约定应撤离的人员、承包人施工设备和剩余的材料，包括废弃的施工设备和材料，已按计划撤离施工现场；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（4）施工现场周边及其附近道路、河道的施工堆积物，已全部清理；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（5）施工现场其他场地清理工作已全部完成。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13.6.2 地表还原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 竣工结算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14.1 竣工结算申请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除专用合同条款另有约定外，竣工结算申请单应包括以下内容：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（1）竣工结算合同价格；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（2）发包人已支付承包人的款项；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（3）应扣留的质量保证金。已缴纳履约保证金的或提供其他工程质量担保方式的除外；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（4）发包人应支付承包人的合同价款。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14.2 竣工结算审核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（1）除专用合同条款另有约定外，监理人应在收到竣工结算申请单后14天内完成核查并报送发包人。发包人应在收到监理人提交的经审核的竣工结算申请单后14天内完成审批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并由监理人向承包人签发经发包人签认的竣工付款证书。监理人或发包人对竣工结算申请单有异议的，有权要求承包人进行修正和提供补充资料，承包人应提交修正后的竣工结算申请单。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14.3 甩项竣工协议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 最终结清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14.4.1 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（1）除专用合同条款另有约定外，承包人应在缺陷责任期终止证书颁发后7天内，按专用合同条款约定的份数向发包人提交最终结清申请单，并提供相关证明材料。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除专用合同条款另有约定外，最终结清申请单应列明质量保证金、应扣除的质量保证金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缺陷责任期内发生的增减费用。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（2）发包人对最终结清申请单内容有异议的，有权要求承包人进行修正和提供补充资料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承包人应向发包人提交修正后的最终结清申请单。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14.4.2 最终结清证书和支付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（3）承包人对发包人颁发的最终结清证书有异议的，按第20条〔争议解决〕的约定办理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 缺陷责任与保修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15.1 工程保修的原则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在工程移交发包人后，因承包人原因产生的质量缺陷，承包人应承担质量缺陷责任和保修义务。缺陷责任期届满，承包人仍应按合同约定的工程各部位保修年限承担保修义务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 缺陷责任期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15.2.1 缺陷责任期从工程通过竣工验收之日起计算，合同当事人应在专用合同条款约定缺陷责任期的具体期限，但该期限最长不超过24个月。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发包人未经竣工验收擅自使用工程的，缺陷责任期自工程转移占有之日起开始计算。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由他人原因造成的缺陷，发包人负责组织维修，承包人不承担费用，且发包人不得从保证金中扣除费用。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15.2.3 任何一项缺陷或损坏修复后，经检查证明其影响了工程或工程设备的使用性能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承包人应重新进行合同约定的试验和试运行，试验和试运行的全部费用应由责任方承担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发包人应在收到缺陷责任期届满通知后14天内，向承包人颁发缺陷责任期终止证书。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 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经合同当事人协商一致扣留质量保证金的，应在专用合同条款中予以明确。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在工程项目竣工前，承包人已经提供履约担保的，发包人不得同时预留工程质量保证金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15.3.1 承包人提供质量保证金的方式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承包人提供质量保证金有以下三种方式：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（1）质量保证金保函；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（2）相应比例的工程款；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（3）双方约定的其他方式。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除专用合同条款另有约定外，质量保证金原则上采用上述第（1）种方式。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15.3.2 质量保证金的扣留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质量保证金的扣留有以下三种方式：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（1）在支付工程进度款时逐次扣留，在此情形下，质量保证金的计算基数不包括预付款的支付、扣回以及价格调整的金额；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（2）工程竣工结算时一次性扣留质量保证金；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（3）双方约定的其他扣留方式。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除专用合同条款另有约定外，质量保证金的扣留原则上采用上述第（1）种方式。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发包人在退还质量保证金的同时按照中国人民银行发布的同期同类贷款基准利率支付利息。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15.3.3 质量保证金的退还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缺陷责任期内，承包人认真履行合同约定的责任，到期后，承包人可向发包人申请返还保证金。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发包人和承包人对保证金预留、返还以及工程维修质量、费用有争议的，按本合同第20条约定的争议和纠纷解决程序处理。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 保修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15.4.1保修责任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发包人未经竣工验收擅自使用工程的，保修期自转移占有之日起算。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15.4.2 修复费用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保修期内，修复的费用按照以下约定处理：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（1）保修期内，因承包人原因造成工程的缺陷、损坏，承包人应负责修复，并承担修复的费用以及因工程的缺陷、损坏造成的人身伤害和财产损失；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（2）保修期内，因发包人使用不当造成工程的缺陷、损坏，可以委托承包人修复，但发包人应承担修复的费用，并支付承包人合理利润；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（3）因其他原因造成工程的缺陷、损坏，可以委托承包人修复，发包人应承担修复的费用，并支付承包人合理的利润，因工程的缺陷、损坏造成的人身伤害和财产损失由责任方承担。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15.4.3 修复通知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15.4.4 未能修复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15.4.5 承包人出入权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 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发包人违约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 发包人违约的情形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在合同履行过程中发生的下列情形，属于发包人违约：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（1）因发包人原因未能在计划开工日期前7天内下达开工通知的；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（2）因发包人原因未能按合同约定支付合同价款的；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（3）发包人违反第10.1款〔变更的范围〕第（2）项约定，自行实施被取消的工作或转由他人实施的；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（4）发包人提供的材料、工程设备的规格、数量或质量不符合合同约定，或因发包人原因导致交货日期延误或交货地点变更等情况的；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（5）因发包人违反合同约定造成暂停施工的；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（6）发包人无正当理由没有在约定期限内发出复工指示，导致承包人无法复工的；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（7）发包人明确表示或者以其行为表明不履行合同主要义务的；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（8）发包人未能按照合同约定履行其他义务的。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16.1.2 发包人违约的责任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发包人应承担因其违约给承包人增加的费用和（或）延误的工期，并支付承包人合理的利润。此外，合同当事人可在专用合同条款中另行约定发包人违约责任的承担方式和计算方法。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16.1.3 因发包人违约解除合同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16.1.4 因发包人违约解除合同后的付款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承包人按照本款约定解除合同的，发包人应在解除合同后28天内支付下列款项，并解除履约担保：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（1）合同解除前所完成工作的价款；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（2）承包人为工程施工订购并已付款的材料、工程设备和其他物品的价款；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（3）承包人撤离施工现场以及遣散承包人人员的款项；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（4）按照合同约定在合同解除前应支付的违约金；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（5）按照合同约定应当支付给承包人的其他款项；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（6）按照合同约定应退还的质量保证金；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（7）因解除合同给承包人造成的损失。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合同当事人未能就解除合同后的结清达成一致的，按照第20条〔争议解决〕的约定处理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承包人应妥善做好已完工程和与工程有关的已购材料、工程设备的保护和移交工作，并将施工设备和人员撤出施工现场，发包人应为承包人撤出提供必要条件。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承包人违约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16.2.1 承包人违约的情形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在合同履行过程中发生的下列情形，属于承包人违约：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（1）承包人违反合同约定进行转包或违法分包的；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（2）承包人违反合同约定采购和使用不合格的材料和工程设备的；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（3）因承包人原因导致工程质量不符合合同要求的；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（4）承包人违反第8.9款〔材料与设备专用要求〕的约定，未经批准，私自将已按照合同约定进入施工现场的材料或设备撤离施工现场的；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（5）承包人未能按施工进度计划及时完成合同约定的工作，造成工期延误的；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（6）承包人在缺陷责任期及保修期内，未能在合理期限对工程缺陷进行修复，或拒绝按发包人要求进行修复的；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（7）承包人明确表示或者以其行为表明不履行合同主要义务的；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（8）承包人未能按照合同约定履行其他义务的。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承包人发生除本项第（7）目约定以外的其他违约情况时，监理人可向承包人发出整改通知，要求其在指定的期限内改正。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16.2.2 承包人违约的责任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承包人应承担因其违约行为而增加的费用和（或）延误的工期。此外，合同当事人可在专用合同条款中另行约定承包人违约责任的承担方式和计算方法。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16.2.3 因承包人违约解除合同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发包人继续使用的行为不免除或减轻承包人应承担的违约责任。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16.2.4因承包人违约解除合同后的处理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因承包人原因导致合同解除的，则合同当事人应在合同解除后28天内完成估价、付款和清算，并按以下约定执行：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（1）合同解除后，按第4.4款〔商定或确定〕商定或确定承包人实际完成工作对应的合同价款，以及承包人已提供的材料、工程设备、施工设备和临时工程等的价值；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（2）合同解除后，承包人应支付的违约金；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（3）合同解除后，因解除合同给发包人造成的损失；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（4）合同解除后，承包人应按照发包人要求和监理人的指示完成现场的清理和撤离；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（5）发包人和承包人应在合同解除后进行清算，出具最终结清付款证书，结清全部款项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因承包人违约解除合同的，发包人有权暂停对承包人的付款，查清各项付款和已扣款项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发包人和承包人未能就合同解除后的清算和款项支付达成一致的，按照第20条〔争议解决〕的约定处理。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16.2.5采购合同权益转让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16.3 第三人造成的违约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在履行合同过程中，一方当事人因第三人的原因造成违约的，应当向对方当事人承担违约责任。一方当事人和第三人之间的纠纷，依照法律规定或者按照约定解决。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17. 不可抗力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 不可抗力的确认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不可抗力发生后，发包人和承包人应收集证明不可抗力发生及不可抗力造成损失的证据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并及时认真统计所造成的损失。合同当事人对是否属于不可抗力或其损失的意见不一致的，由监理人按第4.4款〔商定或确定〕的约定处理。发生争议时，按第20条〔争议解决〕的约定处理。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 不可抗力的通知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合同一方当事人遇到不可抗力事件，使其履行合同义务受到阻碍时，应立即通知合同另一方当事人和监理人，书面说明不可抗力和受阻碍的详细情况，并提供必要的证明。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 不可抗力后果的承担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17.3.1 不可抗力引起的后果及造成的损失由合同当事人按照法律规定及合同约定各自承担。不可抗力发生前已完成的工程应当按照合同约定进行计量支付。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17.3.2 不可抗力导致的人员伤亡、财产损失、费用增加和（或）工期延误等后果，由合同当事人按以下原则承担：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（1）永久工程、已运至施工现场的材料和工程设备的损坏，以及因工程损坏造成的第三人人员伤亡和财产损失由发包人承担；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（2）承包人施工设备的损坏由承包人承担；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（3）发包人和承包人承担各自人员伤亡和财产的损失；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（5）因不可抗力引起或将引起工期延误，发包人要求赶工的，由此增加的赶工费用由发包人承担；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（6）承包人在停工期间按照发包人要求照管、清理和修复工程的费用由发包人承担。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不可抗力发生后，合同当事人均应采取措施尽量避免和减少损失的扩大，任何一方当事人没有采取有效措施导致损失扩大的，应对扩大的损失承担责任。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因合同一方迟延履行合同义务，在迟延履行期间遭遇不可抗力的，不免除其违约责任。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17.4 因不可抗力解除合同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（1）合同解除前承包人已完成工作的价款；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（2）承包人为工程订购的并已交付给承包人，或承包人有责任接受交付的材料、工程设备和其他物品的价款；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（3）发包人要求承包人退货或解除订货合同而产生的费用，或因不能退货或解除合同而产生的损失；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（4）承包人撤离施工现场以及遣散承包人人员的费用；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（5）按照合同约定在合同解除前应支付给承包人的其他款项；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（6）扣减承包人按照合同约定应向发包人支付的款项；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（7）双方商定或确定的其他款项。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除专用合同条款另有约定外，合同解除后，发包人应在商定或确定上述款项后28天内完成上述款项的支付。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 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18.1 工程保险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除专用合同条款另有约定外，发包人应投保建筑工程一切险或安装工程一切险；发包人委托承包人投保的，因投保产生的保险费和其他相关费用由发包人承担。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18.2 工伤保险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18.2.1 发包人应依照法律规定参加工伤保险，并为在施工现场的全部员工办理工伤保险，缴纳工伤保险费，并要求监理人及由发包人为履行合同聘请的第三方依法参加工伤保险。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18.2.2 承包人应依照法律规定参加工伤保险，并为其履行合同的全部员工办理工伤保险，缴纳工伤保险费，并要求分包人及由承包人为履行合同聘请的第三方依法参加工伤保险。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18.3其他保险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发包人和承包人可以为其施工现场的全部人员办理意外伤害保险并支付保险费，包括其员工及为履行合同聘请的第三方的人员，具体事项由合同当事人在专用合同条款约定。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除专用合同条款另有约定外，承包人应为其施工设备等办理财产保险。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18.4持续保险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合同当事人应与保险人保持联系，使保险人能够随时了解工程实施中的变动，并确保按保险合同条款要求持续保险。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18.5 保险凭证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合同当事人应及时向另一方当事人提交其已投保的各项保险的凭证和保险单复印件。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18.6 未按约定投保的补救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18.6.1发包人未按合同约定办理保险，或未能使保险持续有效的，则承包人可代为办理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所需费用由发包人承担。发包人未按合同约定办理保险，导致未能得到足额赔偿的，由发包人负责补足。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18.6.2承包人未按合同约定办理保险，或未能使保险持续有效的，则发包人可代为办理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所需费用由承包人承担。承包人未按合同约定办理保险，导致未能得到足额赔偿的，由承包人负责补足。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18.7 通知义务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保险事故发生时，投保人应按照保险合同规定的条件和期限及时向保险人报告。发包人和承包人应当在知道保险事故发生后及时通知对方。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 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19.1承包人的索赔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根据合同约定，承包人认为有权得到追加付款和（或）延长工期的，应按以下程序向发包人提出索赔：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（1）承包人应在知道或应当知道索赔事件发生后28天内，向监理人递交索赔意向通知书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并说明发生索赔事件的事由；承包人未在前述28天内发出索赔意向通知书的，丧失要求追加付款和（或）延长工期的权利；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（2）承包人应在发出索赔意向通知书后28天内，向监理人正式递交索赔报告；索赔报告应详细说明索赔理由以及要求追加的付款金额和（或）延长的工期，并附必要的记录和证明材料；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（3）索赔事件具有持续影响的，承包人应按合理时间间隔继续递交延续索赔通知，说明持续影响的实际情况和记录，列出累计的追加付款金额和（或）工期延长天数；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（4）在索赔事件影响结束后28天内，承包人应向监理人递交最终索赔报告，说明最终要求索赔的追加付款金额和（或）延长的工期，并附必要的记录和证明材料。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19.2 对承包人索赔的处理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对承包人索赔的处理如下：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（1）监理人应在收到索赔报告后14天内完成审查并报送发包人。监理人对索赔报告存在异议的，有权要求承包人提交全部原始记录副本；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（2）发包人应在监理人收到索赔报告或有关索赔的进一步证明材料后的28天内，由监理人向承包人出具经发包人签认的索赔处理结果。发包人逾期答复的，则视为认可承包人的索赔要求；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（3）承包人接受索赔处理结果的，索赔款项在当期进度款中进行支付；承包人不接受索赔处理结果的，按照第20条〔争议解决〕约定处理。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19.3发包人的索赔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根据合同约定，发包人认为有权得到赔付金额和（或）延长缺陷责任期的，监理人应向承包人发出通知并附有详细的证明。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19.4 对发包人索赔的处理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对发包人索赔的处理如下：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（1）承包人收到发包人提交的索赔报告后，应及时审查索赔报告的内容、查验发包人证明材料；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（2）承包人应在收到索赔报告或有关索赔的进一步证明材料后28天内，将索赔处理结果答复发包人。如果承包人未在上述期限内作出答复的，则视为对发包人索赔要求的认可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（3）承包人接受索赔处理结果的，发包人可从应支付给承包人的合同价款中扣除赔付的金额或延长缺陷责任期；发包人不接受索赔处理结果的，按第20条〔争议解决〕约定处理。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19.5 提出索赔的期限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（1）承包人按第14.2款〔竣工结算审核〕约定接收竣工付款证书后，应被视为已无权再提出在工程接收证书颁发前所发生的任何索赔。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（2）承包人按第14.4款〔最终结清〕提交的最终结清申请单中，只限于提出工程接收证书颁发后发生的索赔。提出索赔的期限自接受最终结清证书时终止。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 争议解决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20.1和解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合同当事人可以就争议自行和解，自行和解达成协议的经双方签字并盖章后作为合同补充文件，双方均应遵照执行。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20.2调解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合同当事人可以就争议请求建设行政主管部门、行业协会或其他第三方进行调解，调解达成协议的，经双方签字并盖章后作为合同补充文件，双方均应遵照执行。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20.3争议评审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合同当事人在专用合同条款中约定采取争议评审方式解决争议以及评审规则，并按下列约定执行：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20.3.1 争议评审小组的确定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合同当事人可以共同选择一名或三名争议评审员，组成争议评审小组。除专用合同条款另有约定外，合同当事人应当自合同签订后28天内，或者争议发生后14天内，选定争议评审员。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除专用合同条款另有约定外，评审员报酬由发包人和承包人各承担一半。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20.3.2 争议评审小组的决定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合同当事人可在任何时间将与合同有关的任何争议共同提请争议评审小组进行评审。争议评审小组应秉持客观、公正原则，充分听取合同当事人的意见，依据相关法律、规范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标准、案例经验及商业惯例等，自收到争议评审申请报告后14天内作出书面决定，并说明理由。合同当事人可以在专用合同条款中对本项事项另行约定。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20.3.3 争议评审小组决定的效力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争议评审小组作出的书面决定经合同当事人签字确认后，对双方具有约束力，双方应遵照执行。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任何一方当事人不接受争议评审小组决定或不履行争议评审小组决定的，双方可选择采用其他争议解决方式。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20.4仲裁或诉讼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因合同及合同有关事项产生的争议，合同当事人可以在专用合同条款中约定以下一种方式解决争议：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（1）向约定的仲裁委员会申请仲裁；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（2）向有管辖权的人民法院起诉。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20.5争议解决条款效力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合同有关争议解决的条款独立存在，合同的变更、解除、终止、无效或者被撤销均不影响其效力。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rPr>
      </w:pPr>
      <w:r>
        <w:rPr>
          <w:rFonts w:hint="eastAsia" w:ascii="宋体" w:hAnsi="宋体" w:eastAsia="宋体" w:cs="宋体"/>
          <w:b/>
          <w:bCs/>
          <w:spacing w:val="14"/>
          <w:sz w:val="24"/>
          <w:szCs w:val="24"/>
        </w:rPr>
        <w:t>第三部分 专用合同条款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 一般约定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合同当事人及其他相关方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1.1.2.4 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名称：</w:t>
      </w:r>
      <w:r>
        <w:rPr>
          <w:rFonts w:hint="eastAsia" w:ascii="宋体" w:hAnsi="宋体" w:eastAsia="宋体" w:cs="宋体"/>
          <w:spacing w:val="14"/>
          <w:sz w:val="24"/>
          <w:szCs w:val="24"/>
          <w:lang w:eastAsia="zh-CN"/>
        </w:rPr>
        <w:t>株洲</w:t>
      </w:r>
      <w:r>
        <w:rPr>
          <w:rFonts w:hint="eastAsia" w:ascii="宋体" w:hAnsi="宋体" w:eastAsia="宋体" w:cs="宋体"/>
          <w:spacing w:val="14"/>
          <w:sz w:val="24"/>
          <w:szCs w:val="24"/>
        </w:rPr>
        <w:t>工程监理有限公司；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资质类别和等级：综合资质；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联系电话：XXXX；</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电子信箱：/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通信地址：长沙市xxxx。</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1.1.2.5 设计人：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名称：</w:t>
      </w:r>
      <w:r>
        <w:rPr>
          <w:rFonts w:hint="eastAsia" w:ascii="宋体" w:hAnsi="宋体" w:eastAsia="宋体" w:cs="宋体"/>
          <w:spacing w:val="14"/>
          <w:sz w:val="24"/>
          <w:szCs w:val="24"/>
          <w:lang w:eastAsia="zh-CN"/>
        </w:rPr>
        <w:t>株洲</w:t>
      </w:r>
      <w:r>
        <w:rPr>
          <w:rFonts w:hint="eastAsia" w:ascii="宋体" w:hAnsi="宋体" w:eastAsia="宋体" w:cs="宋体"/>
          <w:spacing w:val="14"/>
          <w:sz w:val="24"/>
          <w:szCs w:val="24"/>
        </w:rPr>
        <w:t>建筑设计院；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资质类别和等级：甲级；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联系电话：XXX；</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通信地址：长沙市XXXX。</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删除通用条款1.1.4.4内容，用以下内容替代：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1.1.4.4缺陷责任期：是指承包人按照合同约定承担缺陷修复义务的期限，自整体工程竣工验收合格之日起计算。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删除通用条款1.1.5.7内容，用以下内容替代：</w:t>
      </w:r>
    </w:p>
    <w:p>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1.1.5.7 质量保证金：在支付工程进度款时逐次扣留，质量保证金的计算基数不包括预付款的支付、扣回以及价格调整的金额</w:t>
      </w:r>
      <w:r>
        <w:rPr>
          <w:rFonts w:hint="eastAsia" w:ascii="宋体" w:hAnsi="宋体" w:eastAsia="宋体" w:cs="宋体"/>
          <w:spacing w:val="14"/>
          <w:sz w:val="24"/>
          <w:szCs w:val="24"/>
          <w:highlight w:val="yellow"/>
          <w:lang w:eastAsia="zh-CN"/>
        </w:rPr>
        <w:t>，扣回基数为本期计量金额，扣回比例为</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w:t>
      </w:r>
    </w:p>
    <w:p>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 xml:space="preserve">3.7 </w:t>
      </w:r>
      <w:r>
        <w:rPr>
          <w:rFonts w:hint="eastAsia" w:ascii="宋体" w:hAnsi="宋体" w:eastAsia="宋体" w:cs="宋体"/>
          <w:spacing w:val="14"/>
          <w:sz w:val="24"/>
          <w:szCs w:val="24"/>
          <w:highlight w:val="yellow"/>
          <w:lang w:eastAsia="zh-CN"/>
        </w:rPr>
        <w:t>农民工工资保证金：</w:t>
      </w:r>
      <w:r>
        <w:rPr>
          <w:rFonts w:hint="eastAsia" w:ascii="宋体" w:hAnsi="宋体" w:eastAsia="宋体" w:cs="宋体"/>
          <w:spacing w:val="14"/>
          <w:sz w:val="24"/>
          <w:szCs w:val="24"/>
          <w:highlight w:val="yellow"/>
          <w:lang w:val="en-US" w:eastAsia="zh-CN"/>
        </w:rPr>
        <w:t>扣留当期计量金额的1%，农民工保证金限额：累计计量金额的1%。</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 安全文明施工与环境保护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 安全文明施工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6.1.1 项目安全生产的达标目标及相应事项的约定：要求达到《建筑施工安全检查标准》（JGJ59-2011）标准，达到《长沙市建设工程安全文明施工标准化技术导则》要求。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6.1.4 关于治安保卫的特别约定：按通用合同条款执行。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关于编制施工场地治安管理计划的约定：开工前提供施工场地治安管理计划。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6.1.5 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合同当事人对文明施工的要求：达到《建筑施工现场环境与卫生标准》（JGJ146-2</w:t>
      </w:r>
      <w:r>
        <w:rPr>
          <w:rFonts w:hint="eastAsia" w:ascii="宋体" w:hAnsi="宋体" w:eastAsia="宋体" w:cs="宋体"/>
          <w:spacing w:val="14"/>
          <w:sz w:val="24"/>
          <w:szCs w:val="24"/>
          <w:lang w:eastAsia="zh-CN"/>
        </w:rPr>
        <w:t>005）</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6.1.6关于安全文明施工费支付比例和支付期限的约定：合同工期在一年以上两年以内的工程，应在办理工程项目安全受监手续时支付安全文明施工费中基本费的50%，剩余50%基本费应在工程开工满一年前支付到位；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7.5.2 因承包人原因导致工期延误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造成工期延误，逾期竣工违约金的计算方法为：除非合同另有约定，误期违约金按日计算，误期时间（日）自协议书第二条约定的（含依据第7.5.1款工期延长而调整的）计划竣工日期起，至实际竣工日期止。除非专用合同条款另有约定，发包人要求的误期违约金最低标准如下：承包人误期竣工（不仅指最终的竣工日期，也包括投标函附录中的各区段工期）的违约金为每拖期一天分别为人民币壹拾万元整。但违约金的总金额不得超过签约合同价的3%（百分之三）。承包人支付逾期竣工违约金，不免除承包人完成工程及修补缺陷的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 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10.1 变更的范围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关于变更的范围的约定：执行通用合同条款。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在通用合同条款本款后添加以下内容：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上述变更不应以任何方式使合同作废或失效，但对所有上述变更对工程价值的影响（如果有的话）应按第10.4款计价。但如果发包人或发包人通过监理人发出指示进行变更是因为：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（1）承包人的违约或毁约；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（2）承包人自身施工的方便；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（3）施工措施需要；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（4）承包人应对此负责任的原因；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（5）按规范要求必须做的或者工艺上必须考虑的项目；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（6）承包人为满足或符合专用合同条款附件12中第8条的约定。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则由于上述原因引起的变更的费用应由承包人自行承担，工期不予顺延。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在任何情况下，发包人应保证按本款发出的上述变更符合任何适用的法律、法规和规章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如果需要，发包人应办理与此有关的手续、许可和证书等。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承包人需严格按发包人的变更洽商相关规定（详见专用合同条款附件9）执行。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在通用合同条款10.2款后增加以下内容：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如果工程量的增加或减少不是由于变更造成而是因为工程清单中提供的工程量与实际施工的工程量不符，则监理人不必为此发出增加或减少工程量的指示。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 变更估价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10.4.1 变更估价原则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关于变更估价的约定：本条所述的所有变更以及任何需要按本条要求予以确定其价格的追加或扣减项目（本款中简称“变更工作”）按照以下原则进行计价：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（1）合同中已有适用于变更工作的价格，按合同已有的价格对变更工作进行计价；（合同价格中有差异的按最低价格结算）；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（2）合同中只有类似于变更工作的价格，只要发包人和承包人都同意，则可采用合同中的价格作为基础对变更工作进行计价；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（3）按专用合同条款10.4.4款约定的计日工方式实施并计价；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（4）合同中没有适用或类似于变更工作的价格，由承包人或发包人按专用合同条款第10.4.2款约定的原则进行计价并提出变更价格，经双方确认后执行。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进一步约定如下：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（1）承包人需严格按发包人的变更洽商相关规定（详见专用合同条款附件9）执行。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（2）任何发包人和承包人之间未能最终达成一致的变更工作的费用都不应包含在进度款支付确认单中。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承包人不得以发包人和承包人未能就变更工作的计价达成一致为由拒绝实施变更工作。如果承包人以未能就变更工作的计价达成一致为由拒绝实施变更工作，则发包人有权委托他人实施相关工作，并将相当于因委托他人实施此类工作而发生费用的1.5倍的金额从承包人合同价款中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10.8 暂列金额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关于暂列金额使用的约定：“暂列金额项目”是指包括在签约合同价中，并且在工程量清单中以“暂列金额项目”命名，一般由发包人直接在招标文件中为其设定了一暂定金额的项目。暂列金额尽管包含在签约合同价中，但并不属于承包人所有和支配。任何情况下，暂列金额属于发包人所有，其开支金额和开支方式也完全由发包人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对于合同中的每一项暂列金额项目，发包人有权：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（a）指示由承包人实施，这样，承包人有权按照第10条约定的“变更”方式来实施暂列金额项目对应的工作并得到相应款额的支付；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b）指示由指定分包人或指定供应商来实施，这样，支付给承包人的金额应按照依据签约合同价中包含的针对指定分包工程或指定供应项目的总承包服务费费率乘以该类指定分包工程或指定供应项目的签约合同价而计算出的总承包服务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c）指示由独立承包人或独立供应商来实施，这样，支付给承包人的金额应按照依据签约合同价中包含的针对独立工程或独立供应项目的总承包服务费费率乘以该类独立工程或独立供应项目的签约合同价而计算出的总承包服务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暂列金额项目的调整受专用合同条款本条的约束，包含在签约合同价中的所有暂列金额项目的暂定金额以及与之相关的规费和税金将在确定实际合同价格（或工程结算）时全部扣除。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 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市场价格波动引起的调整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市场价格波动是否调整合同价格的约定：因市场价格波动调整合同价格，采用以下第2种方式对合同价格进行调整：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第1种方式：采用价格指数进行价格调整。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关于各可调因子、定值和变值权重，以及基本价格指数及其来源的约定：；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第2种方式：采用造价信息进行价格调整。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（2）关于基准价格的约定：基准价格为投标截止日前28天对应的工程造价信息材料价格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①承包人在已标价工程量清单或预算书中载明的材料、工程设备单价在合同履行期间涨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跌幅以基准价格为基础超过±5%时，据实调整。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②承包人在投标报价中载明的材料、工程设备单价在合同履行期间涨、跌幅超过省及各市州建设行政主管部门各期间发布的预算价格的±5%时，据实调整。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第3种方式：其他价格调整方式：合同期内不调价。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指定分包工程和指定供应项目暂估价的调整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包含在签约合同价中的所有指定分包工程和指定供应项目的暂估价以及与之相关的规费和税金将在确定实际合同价格（或工程结算）时全部扣除。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 总承包服务费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应当认为承包人已经在合同中给出的各指定分包工程、指定供应项目、独立工程和独立供应项目暂估价和暂估金额的基础上充分考虑了自身作为工程施工总承包人的总包管理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调、配合和服务以及本合同中规定的其他总包责任和义务所需的费用，并在工程量清单中的其他项目清单中针对每个指定分包工程、指定供应项目、独立工程和独立供应项目分别填报了相应的总承包服务费比例（费率）和金额，该比例（费率）应当包含承包人因对相应指定分包人、指定供应商、独立承包人和独立供应商实施一切必要的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调、配合和服务，提供任何必要的帮助、支持、条件以及本合同约定的其它所有总包责任和义务所必须的所有费用。此类比例（费率）将是固定包死的，不会随指定分包工程、指定供应项目、独立工程和独立供应项目的合并或再分而调整。实际总承包服务费将以指定分包工程、指定供应项目、独立工程和独立供应项目的实际签约合同价作为基数进行计算并调整。承包人被认为已根据合同约定的要求，并结合本工程的特点和作为有经验的承包商丰富的经验对总承包服务工作及其报价作了充分的评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风险范围以外固定综合单价的调整方法：（1）与根据专用合同条款第12.3.1款计量所确定的分部分项工程部分实际工作内容（工作子目列项）相比，已标价工程量清单中存在的任何遗漏项目、多余项目和特征描述不正确的项目（按专用合同条款12.3.3款第（5）项执行）；（2）工程量清单中包含的材料和工程设备的暂定单价（按专用合同条款第12.3.3款第（6）项执行）；（3）合同约定的可以调整因市场波动导致价格差异的主要材料市场价格波动情况（按专用合同条款第11.1条执行）；（4）设计变更（按第10条执行）；（5）签约合同价中包含的指定分包工程和指定供应项目的暂估价（按专用合同条款第11.3款执行）；（6）签约合同价中包含的暂列金额（按专用合同条款第10条执行）；（7）签约合同价中包含的计日工金额（按专用合同条款第10条执行）；（8）总承包服务费（按专用合同条款第11.4款执行）；（9）合同中约定的可以调整签约合同价的其他情形。以上所述对签约合同价的调整应限于对上述因素影响所涉及的工作子目或项目的价格进行调整。任何根据本款调整后的合同价格适用于本合同下任何性质的计价、结算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 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12.2.1 预付款的支付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预付款的支付比例为合同金额（扣除暂列金额）的</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rPr>
        <w:t>%，支付期限按照合同通用条款约定执行。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12.2.2 预付款担保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default" w:ascii="宋体" w:hAnsi="宋体" w:eastAsia="宋体" w:cs="宋体"/>
          <w:spacing w:val="14"/>
          <w:sz w:val="24"/>
          <w:szCs w:val="24"/>
          <w:highlight w:val="yellow"/>
          <w:lang w:val="en-US" w:eastAsia="zh-CN"/>
        </w:rPr>
      </w:pPr>
      <w:r>
        <w:rPr>
          <w:rFonts w:hint="eastAsia" w:ascii="宋体" w:hAnsi="宋体" w:eastAsia="宋体" w:cs="宋体"/>
          <w:spacing w:val="14"/>
          <w:sz w:val="24"/>
          <w:szCs w:val="24"/>
          <w:highlight w:val="yellow"/>
        </w:rPr>
        <w:t>12.2.</w:t>
      </w:r>
      <w:r>
        <w:rPr>
          <w:rFonts w:hint="eastAsia" w:ascii="宋体" w:hAnsi="宋体" w:eastAsia="宋体" w:cs="宋体"/>
          <w:spacing w:val="14"/>
          <w:sz w:val="24"/>
          <w:szCs w:val="24"/>
          <w:highlight w:val="yellow"/>
          <w:lang w:val="en-US" w:eastAsia="zh-CN"/>
        </w:rPr>
        <w:t>3</w:t>
      </w:r>
      <w:r>
        <w:rPr>
          <w:rFonts w:hint="eastAsia" w:ascii="宋体" w:hAnsi="宋体" w:eastAsia="宋体" w:cs="宋体"/>
          <w:spacing w:val="14"/>
          <w:sz w:val="24"/>
          <w:szCs w:val="24"/>
          <w:highlight w:val="yellow"/>
        </w:rPr>
        <w:t xml:space="preserve"> 预付款</w:t>
      </w:r>
      <w:r>
        <w:rPr>
          <w:rFonts w:hint="eastAsia" w:ascii="宋体" w:hAnsi="宋体" w:eastAsia="宋体" w:cs="宋体"/>
          <w:spacing w:val="14"/>
          <w:sz w:val="24"/>
          <w:szCs w:val="24"/>
          <w:highlight w:val="yellow"/>
          <w:lang w:val="en-US" w:eastAsia="zh-CN"/>
        </w:rPr>
        <w:t>的扣回与还清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lang w:val="en-US" w:eastAsia="zh-CN"/>
        </w:rPr>
      </w:pPr>
      <w:r>
        <w:rPr>
          <w:rFonts w:hint="eastAsia" w:ascii="宋体" w:hAnsi="宋体" w:eastAsia="宋体" w:cs="宋体"/>
          <w:spacing w:val="14"/>
          <w:sz w:val="24"/>
          <w:szCs w:val="24"/>
          <w:highlight w:val="yellow"/>
        </w:rPr>
        <w:t>开工预付款在进度付款证书的累计金额未达到签约合同价的</w:t>
      </w:r>
      <w:r>
        <w:rPr>
          <w:rFonts w:hint="eastAsia" w:ascii="宋体" w:hAnsi="宋体" w:eastAsia="宋体" w:cs="宋体"/>
          <w:spacing w:val="14"/>
          <w:sz w:val="24"/>
          <w:szCs w:val="24"/>
          <w:highlight w:val="yellow"/>
          <w:lang w:val="en-US" w:eastAsia="zh-CN"/>
        </w:rPr>
        <w:t>20</w:t>
      </w:r>
      <w:r>
        <w:rPr>
          <w:rFonts w:hint="eastAsia" w:ascii="宋体" w:hAnsi="宋体" w:eastAsia="宋体" w:cs="宋体"/>
          <w:spacing w:val="14"/>
          <w:sz w:val="24"/>
          <w:szCs w:val="24"/>
          <w:highlight w:val="yellow"/>
        </w:rPr>
        <w:t>%之前不予扣回，在达到签约合同价</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0%之后，开始按工程进度以固定比例(即每完成签约合同价的1%，扣回开工预付款的</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%)分期从各月的进度付款证书中扣回，全部金额在进度付款证书的累计金额达到签约合同价的</w:t>
      </w:r>
      <w:r>
        <w:rPr>
          <w:rFonts w:hint="eastAsia" w:ascii="宋体" w:hAnsi="宋体" w:eastAsia="宋体" w:cs="宋体"/>
          <w:spacing w:val="14"/>
          <w:sz w:val="24"/>
          <w:szCs w:val="24"/>
          <w:highlight w:val="yellow"/>
          <w:lang w:val="en-US" w:eastAsia="zh-CN"/>
        </w:rPr>
        <w:t>70</w:t>
      </w:r>
      <w:r>
        <w:rPr>
          <w:rFonts w:hint="eastAsia" w:ascii="宋体" w:hAnsi="宋体" w:eastAsia="宋体" w:cs="宋体"/>
          <w:spacing w:val="14"/>
          <w:sz w:val="24"/>
          <w:szCs w:val="24"/>
          <w:highlight w:val="yellow"/>
        </w:rPr>
        <w:t>%时扣完</w:t>
      </w:r>
      <w:r>
        <w:rPr>
          <w:rFonts w:hint="eastAsia" w:ascii="宋体" w:hAnsi="宋体" w:eastAsia="宋体" w:cs="宋体"/>
          <w:spacing w:val="14"/>
          <w:sz w:val="24"/>
          <w:szCs w:val="24"/>
          <w:highlight w:val="yellow"/>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 工程进度款支付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12.4.1 付款周期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关于付款周期的约定：工程进度款按月度支付。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12.4.2 进度付款申请单的编制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关于进度付款申请单编制的约定：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除非另有约定或根据实际情况并无必要，每份进度款支付申请单应包括下列内容并按下列顺序排列：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一）首页，一般是一封向发包人申请付款的正式函件，其中应包括日期、进度款支付申请单编号、该进度款支付申请单所对应的年度和月份，以及在该进度款支付申请单下承包人认为应该得到的”本月应付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（二）为计算和汇总上述第（一）段中提及的”本月应付金额”之目的而准备的汇总表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该汇总表中应包括自开工之日起到本月20日止涉及到以下项目的款额累计，这些项目的款额应以合同约定的支付货币表示，并按下列顺序排列：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第一部分：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截止本期由承包人自行实施并已完成的永久工程的累计价值，按照月度计量所得当月（所包含的期间应上月的21日起至当月的20日止）已完成工作量（月度计量只为进度款支付目的，月度计量结果并不作为工程结算的依据）的100%计算【但不包括以下第（2）项至第（6）项所列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（2）截止本期已经确定的工程量清单中包含的材料和工程设备暂定单价的累计调整金额（按专用合同条款第12.3.3款第（6）项执行）的100%；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（3）截止本期已经发生并且其工程量和价格调整均已经双方共同确认的设计变更的累计调整金额（按第10条执行）的85%；</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（4）截止本期已经确定的总承包服务费的累计调整金额（按专用合同条款第11.4款执行）的100%；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（5）截止本期依据合同任何其他条款应增加或扣减的累计金额（但不包括按专用合同条款第7.5款的误期损害赔偿金额）的100%；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（6）截止本期此前发包人累计已付（含预付款）金额；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（7）本期进度款支付申请单（格式详见附件十）下的应付金额，即上述第（1）项至第（5）项的总和减去第（6）项后的金额。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第二部分：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（8）由指定分包人负责实施并已完成的永久工程的价值，按照相应的指定分包合同的付款条件准备（按不同的指定分包人分别列项和汇总）；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（9）由指定供应商负责供应的材料设备的价值，按照相应的指定供应合同的付款条件准备（按不同的指定供应商分别列项和汇总）。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（三）为确定或证明上述汇总表中（1）至（5）项内容的金额而准备的计算书、清单或相关证明文件，这些计算书、清单或相关证明文件也应按上述同样的顺序排列并配以适当的目录和区分。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12.4.3 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（1）单价合同进度付款申请单提交的约定：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（2）总价合同进度付款申请单提交的约定：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价格形式合同进度付款申请单提交的约定：承包人应按发包人同意的格式每月向监理人提交一式三份的进度款支付申请单，说明承包人认为自己在该月度有权得到的款额，同时提交任何必要的计算书、清单或其他证明文件。第一个月度的进度款支付申请单应在开工日期所在月历的最后一天之前提交，所包含的期间应从开工日期起至开工日期所在月历的20日止；此后的每个月度的进度款支付申请单均应在当月25日之前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所包含的期间应从上月的21日起至当月的20日止，直至工程移交为止。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12.4.4 进度款审核和支付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监理人审查并报送发包人的期限：在承包人按照合同约定提交了履约担保并得到发包人批准以前，发包人没有义务向承包人颁发任何进度款支付确认单。在不违背上述前提条件下，在监理人收到承包人依据依据专用合同条款第12.4.3款提交的进度款支付申请单后的7天内，监理人向发包人提交针对该进度款支付申请单的书面审核意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完成审批并签发进度款支付证书的期限：发包人在收到监理人的书面审核意见后7天内对该进度款进行确认。该金额也应按专用合同条款第12.4.2款划分的项目分列为第一部分和第二部分。如果发包人认为该月度没有任何应付款额，应立即相应地通知监理人和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如果对承包人提交的进度款支付申请单的某部分有争议，发包人应就无争议的部分开具进度款支付确认单。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应在施工图下发之日起45天内上报重计量报告书，90天内与发包人指定的造价咨询公司完成重计量对审工作，双方重计量未完成确认之前的进度款支付按发包人指定的造价咨询公司出具的重计量报告作为支付进度款的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（2）发包人支付进度款的期限：发包人应在按照依据专用合同条款第12.4.4款对进度款金额确认后14天内向承包人支付该进度款金额。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逾期支付进度款的违约金的计算方式：如果发包人未能在合同约定的时间内支付根据合同约定应当支付的任何款额，发包人可以与承包人达成延期付款协议，发包人应按照延期付款协议的约定向承包人支付。如果未能达成延期付款协议，或虽达成延期付款协议但在延期付款协议约定的延期内，承包人有权得到未付款额自应付之日起至实际支付日止的利息补偿。用于计算该利息的利率应按中国人民银行发布的同期活期存款利率计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删除通用合同条款12.4.4进度款审核和支付第（1）款中以下内容“发包人逾期未完成审批且未提出异议的，视为已签发进度款支付证书。”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删除通用合同条款12.4.6第2款第（3）项中的以下内容：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发包人逾期未完成支付分解表审批的，也未及时要求承包人进行修正和提供补充资料的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则承包人提交的支付分解表视为已经获得发包人批准。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进一步约定：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（1）大开挖土方全部完成且资料移交完成后，开始办理结算。大开挖余款在全部工程回填土全部完成且结算完成后28个工作日内一次性付清。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（2）基坑护壁、抗浮锚杆工程全部完成验收合格，资料移交完成后，开始办理结算。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12.4.6 支付分解表的编制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2.总价合同支付分解表的编制与审批：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3.单价合同的总价项目支付分解表的编制与审批：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在通用合同条款12.4.6后面增加以下一款，作为12.4.7：</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12.4.7 剩余进度款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12.4.7.1 在承包人按照专用合同条款第12.4.3款提交进度款支付申请单以及发包人按照专用合同条款第12.4.4款对进度款支付进行确认时，均按承包人实际完成工作量的75%计算和支付，剩余的25%按如下方式支付：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a）在工程竣工验收合格并移交给发包人（以发包人颁发工程接收证书为准，下同）之日后28天内，发包人向承包人支付至签约合同价（但应扣除指定分包工程整项暂估价、指定供应项目整项暂估价、暂列金额以及计日工金额）以及截止竣工验收合格之日前双方已经确定的价款调整金额之和的85%。</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（b）按第14条完成竣工结算（以双方签署竣工结算文件为准）之日后28天内，发包人向承包人支付至结算金额的97%，预留结算总金额的3%作为质量保证金。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14.4.3.5 发包人代缴的其它费用，应在承包人的工程结算款中扣除。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14.4.3.6 承包人缴纳的各项费用，应及时提供发票复印件，以便各分包单位进行费用分摊。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 缺陷责任期与保修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 缺陷责任期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15.2.1 缺陷责任期的具体期限：24个月，自本工程整体竣工验收合格之日起算。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15.2.2 若承包人未对缺陷责任期内发生的缺陷进行相应整改，发包人有权自行或者委托第三方进行维修，其产生的维修费用由承包人承担。承包人并应向发包人支付违约金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 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关于是否扣留质量保证金的约定：扣留质量保证金。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15.3.1 承包人提供质量保证金的方式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质量保证金采用以下第（2）种方式：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（1）质量保证金保函，保证金额为：；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（2）结算总金额的3%的工程款；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（3）其他方式：无。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15.3.2 质量保证金的扣留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质量保证金的扣留采取以下第（2）种方式：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（1）在支付工程进度款时逐次扣留，在此情形下，质量保证金的计算基数不包括预付款的支付、扣回以及价格调整的金额；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（2）工程竣工结算时一次性扣留质量保证金；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（3）其他扣留方式：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关于质量保证金的补充约定：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质量保证金的返还按如下约定办理：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（a）在工程移交给发包人后满24个月后28天内，发包人将质量保证金的70%（相当于结算总金额的2.1%）支付给承包人（如果承包人承包范围中不包含任何防水工程，则按结算总金额的3%）；</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（b）如果承包人承包范围内包含防水工程，则在工程移交给发包人后满60个月后28天内，发包人将质量保证金的30%（相当于结算总金额的0.9%）支付给承包人；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（c）返还质量保证金时，如果承包人尚有任何保修工作未完成，则发包人有权在此类工作完成之前扣发与完成此类工作所需费用相应的质量保证金；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（d）对于发包人按照合同约定而扣留的任何金额以及质量保证金，发包人不必向承包人支付任何利息或收益。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  不可抗力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 不可抗力的确认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除通用合同条款约定的不可抗力事件之外，视为不可抗力的其他情形：政府行为。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 因不可抗力解除合同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合同解除后，发包人应在商定或确定发包人应支付款项后90天内完成款项的支付。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  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18.1 工程保险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关于工程保险的特别约定：本工程之建设工程一切险由发包人负责投保并承担相关的费用；本工程之第三方责任险由发包人负责投保并承担相关的费用，第三方责任险的额度由发包人决定。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18.2安全生产责任保险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关于安全生产责任保险的约定：由发包人负责投保并承担相关的费用。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18.3保险凭证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在通用合同条款18.5 中增加以下内容：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承包人向发包人提交各项保险生效的证据和保险单副本的时间为：在合同签署后28天内但不迟于开工前。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18.4 通知义务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关于变更保险合同时的通知义务的约定：按通用合同条款执行。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  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19.2 对承包人索赔的处理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（1）删除通用合同条款第19.2对承包人索赔的处理内容第（2）项内容并用以下内容替代：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（2）发包人应在监理人收到索赔报告或有关索赔的进一步证明材料后的28天内，由监理人向承包人出具经发包人签认的索赔处理结果。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19.3 发包人的索赔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删除通用合同条款第19.3发包人的索赔的内容，并用以下内容替代：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根据合同约定，发包人认为有权得到赔付金额和（或）延长缺陷责任期的，监理人应向承包人发出通知并附有详细的证明。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发包人应在知道或应当知道索赔事件发生后28天内通过监理人向承包人提出索赔意向通知书。发包人应在发出索赔意向通知书后28天内，通过监理人向承包人正式递交索赔报告。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  争议解决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20.1 争议评审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合同当事人是否同意将工程争议提交争议评审小组决定：。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20.2.1 争议评审小组的确定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争议评审小组成员的确定：/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选定争议评审员的期限：/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争议评审小组成员的报酬承担方式：/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其他事项的约定：/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20.2.2 争议评审小组的决定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合同当事人关于本项的约定：/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 仲裁或诉讼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因合同及合同有关事项发生的争议，按下列第（2）种方式解决：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（1）向仲裁委员会申请仲裁；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z w:val="23"/>
          <w:szCs w:val="23"/>
          <w:lang w:eastAsia="zh-CN"/>
        </w:rPr>
      </w:pPr>
      <w:r>
        <w:rPr>
          <w:rFonts w:hint="eastAsia" w:ascii="宋体" w:hAnsi="宋体" w:eastAsia="宋体" w:cs="宋体"/>
          <w:spacing w:val="14"/>
          <w:sz w:val="24"/>
          <w:szCs w:val="24"/>
        </w:rPr>
        <w:t>（2）向工程所在地人民法院起诉</w:t>
      </w:r>
      <w:r>
        <w:rPr>
          <w:rFonts w:hint="eastAsia" w:ascii="宋体" w:hAnsi="宋体" w:eastAsia="宋体" w:cs="宋体"/>
          <w:spacing w:val="14"/>
          <w:sz w:val="24"/>
          <w:szCs w:val="24"/>
          <w:lang w:eastAsia="zh-CN"/>
        </w:rPr>
        <w:t>。</w:t>
      </w:r>
    </w:p>
    <w:p>
      <w:pPr>
        <w:sectPr>
          <w:footerReference r:id="rId9" w:type="default"/>
          <w:pgSz w:w="11906" w:h="16839"/>
          <w:pgMar w:top="400" w:right="999" w:bottom="1156" w:left="1087" w:header="0" w:footer="996" w:gutter="0"/>
          <w:pgNumType w:fmt="decimal" w:start="1"/>
          <w:cols w:space="720" w:num="1"/>
        </w:sectPr>
      </w:pPr>
    </w:p>
    <w:p>
      <w:pPr>
        <w:pStyle w:val="2"/>
        <w:bidi w:val="0"/>
        <w:rPr>
          <w:rFonts w:hint="eastAsia" w:ascii="宋体" w:hAnsi="宋体" w:eastAsia="宋体" w:cs="宋体"/>
          <w:lang w:eastAsia="zh-CN"/>
        </w:rPr>
      </w:pPr>
      <w:bookmarkStart w:id="6" w:name="_Toc20995"/>
      <w:r>
        <w:rPr>
          <w:rFonts w:hint="eastAsia" w:ascii="宋体" w:hAnsi="宋体" w:eastAsia="宋体" w:cs="宋体"/>
        </w:rPr>
        <w:t>三</w:t>
      </w:r>
      <w:r>
        <w:rPr>
          <w:rFonts w:hint="eastAsia" w:ascii="宋体" w:hAnsi="宋体" w:eastAsia="宋体" w:cs="宋体"/>
          <w:lang w:eastAsia="zh-CN"/>
        </w:rPr>
        <w:t>、合同工程量清单</w:t>
      </w:r>
      <w:bookmarkEnd w:id="6"/>
    </w:p>
    <w:p>
      <w:pPr>
        <w:spacing w:before="75" w:line="390" w:lineRule="auto"/>
        <w:ind w:right="53"/>
        <w:rPr>
          <w:rFonts w:hint="eastAsia" w:ascii="宋体" w:hAnsi="宋体" w:eastAsia="宋体" w:cs="宋体"/>
          <w:sz w:val="23"/>
          <w:szCs w:val="23"/>
          <w:lang w:val="en-US" w:eastAsia="zh-CN"/>
        </w:rPr>
      </w:pPr>
      <w:r>
        <w:rPr>
          <w:rFonts w:hint="eastAsia" w:ascii="宋体" w:hAnsi="宋体" w:eastAsia="宋体" w:cs="宋体"/>
          <w:b/>
          <w:bCs/>
          <w:sz w:val="23"/>
          <w:szCs w:val="23"/>
          <w:lang w:eastAsia="zh-CN"/>
        </w:rPr>
        <w:t>详见附件</w:t>
      </w:r>
      <w:r>
        <w:rPr>
          <w:rFonts w:hint="eastAsia" w:ascii="宋体" w:hAnsi="宋体" w:eastAsia="宋体" w:cs="宋体"/>
          <w:b/>
          <w:bCs/>
          <w:sz w:val="23"/>
          <w:szCs w:val="23"/>
          <w:lang w:val="en-US" w:eastAsia="zh-CN"/>
        </w:rPr>
        <w:t>2</w:t>
      </w:r>
    </w:p>
    <w:p>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pPr>
        <w:pStyle w:val="2"/>
        <w:bidi w:val="0"/>
        <w:rPr>
          <w:rFonts w:hint="eastAsia" w:ascii="宋体" w:hAnsi="宋体" w:eastAsia="宋体" w:cs="宋体"/>
        </w:rPr>
      </w:pPr>
      <w:bookmarkStart w:id="7" w:name="_Toc3643"/>
      <w:r>
        <w:rPr>
          <w:rFonts w:hint="eastAsia" w:ascii="宋体" w:hAnsi="宋体" w:eastAsia="宋体" w:cs="宋体"/>
          <w:lang w:eastAsia="zh-CN"/>
        </w:rPr>
        <w:t>四、监理合同</w:t>
      </w:r>
      <w:bookmarkEnd w:id="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8" w:name="_Toc10442"/>
      <w:bookmarkStart w:id="9" w:name="_Toc24130"/>
      <w:r>
        <w:rPr>
          <w:rFonts w:hint="eastAsia" w:ascii="宋体" w:hAnsi="宋体" w:eastAsia="宋体" w:cs="宋体"/>
          <w:b/>
          <w:bCs/>
          <w:spacing w:val="14"/>
          <w:sz w:val="24"/>
          <w:szCs w:val="24"/>
        </w:rPr>
        <w:t>第一部分 合同协议书</w:t>
      </w:r>
      <w:bookmarkEnd w:id="8"/>
      <w:bookmarkEnd w:id="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bookmarkStart w:id="10" w:name="_Toc18649"/>
      <w:r>
        <w:rPr>
          <w:rFonts w:hint="eastAsia" w:ascii="宋体" w:hAnsi="宋体" w:eastAsia="宋体" w:cs="宋体"/>
          <w:spacing w:val="14"/>
          <w:sz w:val="24"/>
          <w:szCs w:val="24"/>
          <w:lang w:val="en-US" w:eastAsia="zh-CN"/>
        </w:rPr>
        <w:t>委托人（全称）：</w:t>
      </w:r>
      <w:bookmarkEnd w:id="10"/>
      <w:r>
        <w:rPr>
          <w:rFonts w:hint="eastAsia" w:ascii="宋体" w:hAnsi="宋体" w:eastAsia="宋体" w:cs="宋体"/>
          <w:spacing w:val="14"/>
          <w:sz w:val="24"/>
          <w:szCs w:val="24"/>
          <w:lang w:val="en-US" w:eastAsia="zh-CN"/>
        </w:rPr>
        <w:t>010美华房地产开发有限公司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bookmarkStart w:id="11" w:name="_Toc27787"/>
      <w:r>
        <w:rPr>
          <w:rFonts w:hint="eastAsia" w:ascii="宋体" w:hAnsi="宋体" w:eastAsia="宋体" w:cs="宋体"/>
          <w:spacing w:val="14"/>
          <w:sz w:val="24"/>
          <w:szCs w:val="24"/>
          <w:lang w:val="en-US" w:eastAsia="zh-CN"/>
        </w:rPr>
        <w:t>监理人（全称）：</w:t>
      </w:r>
      <w:bookmarkEnd w:id="11"/>
      <w:r>
        <w:rPr>
          <w:rFonts w:hint="eastAsia" w:ascii="宋体" w:hAnsi="宋体" w:eastAsia="宋体" w:cs="宋体"/>
          <w:spacing w:val="14"/>
          <w:sz w:val="24"/>
          <w:szCs w:val="24"/>
          <w:lang w:val="en-US" w:eastAsia="zh-CN"/>
        </w:rPr>
        <w:t>010城阳工程建设项目监理有限公司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根据《民法典》、《中华人民共和国建筑法》及其他有关法律、法规，遵循平等、自愿、公平和诚信的原则，双方就下述工程委托监理与相关服务事项协商一致，订立本合同。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bookmarkStart w:id="12" w:name="_Toc11459"/>
      <w:r>
        <w:rPr>
          <w:rFonts w:hint="eastAsia" w:ascii="宋体" w:hAnsi="宋体" w:eastAsia="宋体" w:cs="宋体"/>
          <w:spacing w:val="14"/>
          <w:sz w:val="24"/>
          <w:szCs w:val="24"/>
          <w:lang w:val="en-US" w:eastAsia="zh-CN"/>
        </w:rPr>
        <w:t>一</w:t>
      </w:r>
      <w:r>
        <w:rPr>
          <w:rFonts w:hint="eastAsia" w:ascii="宋体" w:hAnsi="宋体" w:eastAsia="宋体" w:cs="宋体"/>
          <w:spacing w:val="14"/>
          <w:sz w:val="24"/>
          <w:szCs w:val="24"/>
        </w:rPr>
        <w:t>、</w:t>
      </w:r>
      <w:r>
        <w:rPr>
          <w:rFonts w:hint="eastAsia" w:ascii="宋体" w:hAnsi="宋体" w:eastAsia="宋体" w:cs="宋体"/>
          <w:spacing w:val="14"/>
          <w:sz w:val="24"/>
          <w:szCs w:val="24"/>
          <w:lang w:val="en-US" w:eastAsia="zh-CN"/>
        </w:rPr>
        <w:t>工程概况</w:t>
      </w:r>
      <w:bookmarkEnd w:id="12"/>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合同名称：010鲁能公馆项目</w:t>
      </w:r>
      <w:r>
        <w:rPr>
          <w:rFonts w:hint="eastAsia" w:ascii="宋体" w:hAnsi="宋体" w:eastAsia="宋体" w:cs="宋体"/>
          <w:spacing w:val="14"/>
          <w:sz w:val="24"/>
          <w:szCs w:val="24"/>
          <w:lang w:eastAsia="zh-CN"/>
        </w:rPr>
        <w:t>监理合同</w:t>
      </w:r>
      <w:r>
        <w:rPr>
          <w:rFonts w:hint="eastAsia" w:ascii="宋体" w:hAnsi="宋体" w:eastAsia="宋体" w:cs="宋体"/>
          <w:spacing w:val="14"/>
          <w:sz w:val="24"/>
          <w:szCs w:val="24"/>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合同编号：010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3 工程地点：山东青岛城阳区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工程规模：鲁能公馆项目建筑工程。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 工程概算投资额或建筑安装工程费：</w:t>
      </w:r>
      <w:r>
        <w:rPr>
          <w:rFonts w:hint="eastAsia" w:ascii="宋体" w:hAnsi="宋体" w:eastAsia="宋体" w:cs="宋体"/>
          <w:spacing w:val="8"/>
          <w:sz w:val="24"/>
          <w:szCs w:val="24"/>
          <w:lang w:val="en-US" w:eastAsia="zh-CN"/>
        </w:rPr>
        <w:t>30244</w:t>
      </w:r>
      <w:r>
        <w:rPr>
          <w:rFonts w:hint="eastAsia" w:ascii="宋体" w:hAnsi="宋体" w:eastAsia="宋体" w:cs="宋体"/>
          <w:spacing w:val="14"/>
          <w:sz w:val="24"/>
          <w:szCs w:val="24"/>
          <w:lang w:val="en-US" w:eastAsia="zh-CN"/>
        </w:rPr>
        <w:t>万元。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二、词语限定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协议书中相关词语的含义与通用条件中的定义与解释相同。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三、组成本合同的文件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协议书；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中标通知书（适用于招标工程）或委托书（适用于非招标工程）；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投标文件（适用于招标工程）或监理与相关服务建议书（适用于非招标工程）；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专用条件；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 通用条件；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 附录，即：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附录A  相关服务的范围和内容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附录B  委托人派遣的人员和提供的房屋、资料、设备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本合同签订后，双方依法签订的补充协议也是本合同文件的组成部分。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四、总监理工程师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总监理工程师姓名：           ，身份证号码：            ，注册号：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五、签约酬金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签约酬金（大写）：贰佰万元（¥5000000）。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监理酬金：4500000。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相关服务酬金：500000。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（1）勘察阶段服务酬金：无。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（2）设计阶段服务酬金：无。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（3）保修阶段服务酬金：500000元。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（4）其他相关服务酬金：无。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六、期限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监理期限：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自2021年9月1日始，至2023年1月1日止。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相关服务期限：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（1）保修阶段服务期限自2023年1月2日始，至2025年1月2日止。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七、双方承诺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监理人向委托人承诺，按照本合同约定提供监理与相关服务。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委托人向监理人承诺，按照本合同约定派遣相应的人员，提供房屋、资料、设备，并按本合同约定支付酬金。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八、合同订立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订立时间：          年       月      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订立地点：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本合同一式    份，具有同等法律效力，双方各执    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委托人：   （盖章）             监理人：   （盖章）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住所：                          住所：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邮政编码：                      邮政编码：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法定代表人或其授权              法定代表人或其授权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的代理人：（签字）               的代理人：（签字）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开户银行：                      开户银行：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账号：                           账号：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电话：                           电话：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传真：                           传真：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电子邮箱：                      电子邮箱：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b/>
          <w:bCs/>
          <w:spacing w:val="14"/>
          <w:sz w:val="24"/>
          <w:szCs w:val="24"/>
          <w:lang w:val="en-US" w:eastAsia="zh-CN"/>
        </w:rPr>
        <w:t>第二部分  通用条件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定义与解释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 定义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除根据上下文另有其意义外，组成本合同的全部文件中的下列名词和用语应具有本款所赋予的含义：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 “工程”是指按照本合同约定实施监理与相关服务的建设工程。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1.1.2 “委托人”是指本合同中委托监理与相关服务的一方，及其合法的继承人或受让人。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1.1.3 “监理人”是指本合同中提供监理与相关服务的一方，及其合法的继承人。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1.1.4 “承包人”是指在工程范围内与委托人签订勘察、设计、施工等有关合同的当事人，及其合法的继承人。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1.1.6 “相关服务”是指监理人受委托人的委托 ，按照本合同约定，在勘察、设计、保修等阶段提供的服务活动。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1.1.7 “正常工作”指本合同订立时通用条件和专用条件中约定的监理人的工作。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1.1.8 “附加工作”是指本合同约定的正常工作以外监理人的工作。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1.1.9 “项目监理机构”是指监理人派驻工程负责履行本合同的组织机构。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1.1.10 “总监理工程师”是指由监理人的法定代表人书面授权，全面负责履行本合同、主持项目监理机构工作的注册监理工程师。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1.1.11 “酬金”是指监理人履行本合同义务，委托人按照本合同约定给付监理人的金额。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1.1.12 “正常工作酬金”是指监理人完成正常工作，委托人应给付监理人并在协议书中载明的签约酬金额。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1.1.13 “附加工作酬金”是指监理人完成附加工作，委托人应给付监理人的金额。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1.1.14 “一方”是指委托人或监理人；“双方”是指委托人和监理人；“第三方”是指除委托人和监理人以外的有关方。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1.1.15 “书面形式”是指合同书、信件和数据电文（包括电报、电传、传真、电子数据交换和电子邮件）等可以有形地表现所载内容的形式。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1.1.16 “天”是指第一天零时至第二天零时的时间。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1.1.17“月”是指按公历从一个月中任何一天开始的一个公历月时间。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 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1.2.1本合同使用中文书写、解释和说明。如专用条件约定使用两种及以上语言文字时，应以中文为准。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1.2.2 组成本合同的下列文件彼此应能相互解释、互为说明。除专用条件另有约定外，本合同文件的解释顺序如下：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（1）协议书；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（2）中标通知书（适用于招标工程）或委托书（适用于非招标工程）；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（3）专用条件及附录A、附录B；</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（4）通用条件；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（5）投标文件（适用于招标工程）或监理与相关服务建议书（适用于非招标工程）。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双方签订的补充协议与其他文件发生矛盾或歧义时，属于同一类内容的文件，应以最新签署的为准。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监理人的义务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 监理的范围和工作内容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2.1.1 监理范围在专用条件中约定。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2.1.2 除专用条件另有约定外，监理工作内容包括：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（1）收到工程设计文件后编制监理规划，并在第一次工地会议7天前报委托人。根据有关规定和监理工作需要，编制监理实施细则；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（2）熟悉工程设计文件，并参加由委托人主持的图纸会审和设计交底会议；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（3）参加由委托人主持的第一次工地会议；主持监理例会并根据工程需要主持或参加专题会议；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（4）审查施工承包人提交的施工组织设计，重点审查其中的质量安全技术措施、专项施工方案与工程建设强制性标准的符合性；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（5）检查施工承包人工程质量、安全生产管理制度及组织机构和人员资格；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（6）检查施工承包人专职安全生产管理人员的配备情况；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（7）审查施工承包人提交的施工进度计划，核查承包人对施工进度计划的调整；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（8）检查施工承包人的试验室；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（9）审核施工分包人资质条件；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（10）查验施工承包人的施工测量放线成果；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（11）审查工程开工条件，对条件具备的签发开工令；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（12）审查施工承包人报送的工程材料、构配件、设备质量证明文件的有效性和符合性，并按规定对用于工程的材料采取平行检验或见证取样方式进行抽检；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（13）审核施工承包人提交的工程款支付申请，签发或出具工程款支付证书，并报委托人审核、批准；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（14）在巡视、旁站和检验过程中，发现工程质量、施工安全存在事故隐患的，要求施工承包人整改并报委托人；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（15）经委托人同意，签发工程暂停令和复工令；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（16）审查施工承包人提交的采用新材料、新工艺、新技术、新设备的论证材料及相关验收标准；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（17）验收隐蔽工程、分部分项工程；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（18）审查施工承包人提交的工程申请，协调处理施工进度调整、费用索赔、合同争议等事项；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（19）审查施工承包人提交的竣工验收申请，编写工程质量评估报告；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（20）参加工程竣工验收，签署竣工验收意见；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（21）审查施工承包人提交的竣工结算申请并报委托人；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（22）编制、整理工程监理归档文件并报委托人。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2.1.3 相关服务的范围和内容在附录A中约定。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 监理与相关服务依据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2.2.1 监理依据包括：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（1）适用的法律、行政法规及部门规章；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（2）与工程有关的标准；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（3）工程设计及有关文件；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（4）本合同及委托人与第三方签订的与实施工程有关的其他合同。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双方根据工程的行业和地域特点，在专用条件中具体约定监理依据。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2.2.2 相关服务依据在专用条件中约定。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 项目监理机构和人员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2.3.1 监理人应组建满足工作需要的项目监理机构，配备必要的检测设备。项目监理机构的主要人员应具有相应的资格条件。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2.3.2本合同履行过程中，总监理工程师及重要岗位监理人员应保持相对稳定，以保证监理工作正常进行。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2.3.4 监理人应及时更换有下列情形之一的监理人员：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（1）严重过失行为的；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（2）有违法行为不能履行职责的；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（3）涉嫌犯罪的；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（4）不能胜任岗位职责的；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（5）严重违反职业道德的；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（6）专用条件约定的其他情形。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2.3.5 委托人可要求监理人更换不能胜任本职工作的项目监理机构人员。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 履行职责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监理人应遵循职业道德准则和行为规范，严格按照法律法规、工程建设有关标准及本合同履行职责。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2.4.1 在监理与相关服务范围内，委托人和承包人提出的意见和要求，监理人应及时提出处置意见。当委托人与承包人之间发生合同争议时，监理人应协助委托人、承包人协商解决。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2.4.2 当委托人与承包人之间的合同争议提交仲裁机构仲裁或人民法院审理时，监理人应提供必要的证明资料。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2.4.3 监理人应在专用条件约定的授权范围内，处理委托人与承包人所签订合同的事宜。如果超过授权范围，应以书面形式报委托人批准。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在紧急情况下，为了保护财产和人身安全，监理人所发出的指令未能事先报委托人批准时，应在发出指令后的24小时内以书面形式报委托人。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2.4.4 除专用条件另有约定外，监理人发现承包人的人员不能胜任本职工作的，有权要求承包人予以调换。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2.5 提交报告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监理人应按专用条件约定的种类、时间和份数向委托人提交监理与相关服务的报告。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2.6 文件资料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在本合同履行期内，监理人应在现场保留工作所用的图纸、报告及记录监理工作的相关文件。工程竣工后，应当按照档案管理规定将监理有关文件归档。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2.7 使用委托人的财产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3．委托人的义务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3.1 告知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委托人应在委托人与承包人签订的合同中明确监理人、总监理工程师和授予项目监理机构的权限。如有，应及时通知承包人。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3.2 提供资料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委托人应按照附录B约定，无偿向监理人提供工程有关的资料。在本合同履行过程中，委托人应及时向监理人提供最新的与工程有关的资料。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3.3 提供工作条件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委托人应为监理人完成监理与相关服务提供必要的条件。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3.3.1 委托人应按照附录B约定，派遣相应的人员，提供房屋、设备，供监理人无偿使用。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3.3.2 委托人应负责协调工程建设中所有外部关系，为监理人履行本合同提供必要的外部条件。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3.4 委托人代表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委托人应授权一名熟悉工程情况的代表，负责与监理人联系。委托人应在双方签订本合同后7天内，将委托人代表的姓名和职责书面告知监理人。当委托人更换委托人代表时，应提前7天通知监理人。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3.5 委托人意见或要求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在本合同约定的监理与相关服务工作范围内，委托人对承包人的任何意见或要求应通知监理人，由监理人向承包人发出相应指令。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3.6 答复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委托人应在专用条件约定的时间内，对监理人以书面形式提交并要求作出决定的事宜，给予书面答复。逾期未答复的，视为委托人认可。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3.7 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委托人应按本合同约定，向监理人支付酬金。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4.1 监理人的违约责任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监理人未履行本合同义务的，应承担相应的责任。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4.1.1 因监理人违反本合同约定给委托人造成损失的，监理人应当赔偿委托人损失。赔偿金额的确定方法在专用条件中约定。监理人承担部分赔偿责任的，其承担赔偿金额由双方协商确定。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4.1.2 监理人向委托人的索赔不成立时，监理人应赔偿委托人由此发生的费用。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 委托人的违约责任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委托人未履行本合同义务的，应承担相应的责任。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4.2.1 委托人违反本合同约定造成监理人损失的，委托人应予以赔偿。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4.2.2 委托人向监理人的索赔不成立时，应赔偿监理人由此引起的费用。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4.2.3 委托人未能按期支付酬金超过28天，应按专用条件约定支付逾期付款利息。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4.3 除外责任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因非监理人的原因，且监理人无过错，发生工程质量事故、安全事故、工期延误等造成的损失，监理人不承担赔偿责任。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因不可抗力导致本合同全部或部分不能履行时，双方各自承担其因此而造成的损失、损害。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 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5.1 支付货币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除专用条件另有约定外，酬金均以人民币支付。涉及外币支付的，所采用的货币种类、比例和汇率在专用条件中约定。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5.2 支付申请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监理人应在本合同约定的每次应付款时间的7天前，向委托人提交支付申请书。支付申请书应当说明当期应付款总额，并列出当期应支付的款项及其金额。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5.3 支付酬金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支付的酬金包括正常工作酬金、附加工作酬金、合理化建议奖励金额及费用。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5.4 有争议部分的付款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委托人对监理人提交的支付申请书有异议时，应当在收到监理人提交的支付申请书后7天内，以书面形式向监理人发出异议通知。无异议部分的款项应按期支付，有异议部分的款项按第7条约定办理。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 合同生效、、暂停、解除与终止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6.1生效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除法律另有规定或者专用条件另有约定外，委托人和监理人的法定代表人或其授权代理人在协议书上签字并盖单位章后本合同生效。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6.2.1 任何一方提出请求时，双方经协商一致后可进行。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6.2.4合同签订后，遇有与工程相关的法律法规、标准颁布或修订的，双方应遵照执行。由此引起监理与相关服务的范围、时间、酬金变化的，双方应通过协商进行相应调整。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6.2.5 因非监理人原因造成工程概算投资额或建筑安装工程费增加时，正常工作酬金应作相应调整。调整方法在专用条件中约定。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6.2.6 因工程规模、监理范围的变化导致监理人的正常工作量减少时，正常工作酬金应作相应调整。调整方法在专用条件中约定。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 暂停与解除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除双方协商一致可以解除本合同外，当一方无正当理由未履行本合同约定的义务时，另一方可以根据本合同约定暂停履行本合同直至解除本合同。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因解除本合同或解除监理人的部分义务导致监理人遭受的损失，除依法可以免除责任的情况外，应由委托人予以补偿，补偿金额由双方协商确定。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解除本合同的协议必须采取书面形式，协议未达成之前，本合同仍然有效。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6.3.5 因不可抗力致使本合同部分或全部不能履行时，一方应立即通知另一方，可暂停或解除本合同。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6.3.6 本合同解除后，本合同约定的有关结算、清理、争议解决方式的条件仍然有效。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6.4 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以下条件全部满足时，本合同即告终止：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（1）监理人完成本合同约定的全部工作；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（2）委托人与监理人结清并支付全部酬金。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 争议解决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7.1协商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双方应本着诚信原则协商解决彼此间的争议。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7.2调解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如果双方不能在14天内或双方商定的其他时间内解决本合同争议，可以将其提交给专用条件约定的或事后达成协议的调解人进行调解。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7.3仲裁或诉讼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双方均有权不经调解直接向专用条件约定的仲裁机构申请仲裁或向有管辖权的人民法院提起诉讼。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8.1 外出考察费用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经委托人同意，监理人员外出考察发生的费用由委托人审核后支付。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8.2 检测费用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委托人要求监理人进行的材料和设备检测所发生的费用，由委托人支付，支付时间在专用条件中约定。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8.3 咨询费用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经委托人同意，根据工程需要由监理人组织的相关咨询论证会以及聘请相关专家等发生的费用由委托人支付，支付时间在专用条件中约定。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8.4 奖励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监理人在服务过程中提出的合理化建议，使委托人获得经济效益的，双方在专用条件中约定奖励金额的确定方法。奖励金额在合理化建议被采纳后，与最近一期的正常工作酬金同期支付。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8.5 守法诚信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监理人及其工作人员不得从与实施工程有关的第三方处获得任何经济利益。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8.6 保密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双方不得泄露对方申明的保密资料，亦不得泄露与实施工程有关的第三方所提供的保密资料，保密事项在专用条件中约定。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8.7 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本合同涉及的通知均应当采用书面形式，并在送达对方时生效，收件人应书面签收。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8.8 著作权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监理人对其编制的文件拥有著作权。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b/>
          <w:bCs/>
          <w:spacing w:val="14"/>
          <w:sz w:val="24"/>
          <w:szCs w:val="24"/>
          <w:lang w:val="en-US" w:eastAsia="zh-CN"/>
        </w:rPr>
        <w:t>第三部分  专用条件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定义与解释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  解释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1.2.1 本合同文件除使用中文外，还可用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1.2.2 约定本合同文件的解释顺序为：参照通用合同条款。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监理人义务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 监理的范围和内容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2.1.1 监理范围包括：华南物流中心地下室土建工程。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2.1.2 监理工作内容还包括：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(1)协助业主与承建单位编写开工报告，协助业主办理开工手续；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(2)确认承建单位选择的分包单位；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(3)参加施工图会审和设计交底；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(4)审查承建单位提出的施工组织设计、施工技术方案、施工进度计划、施工质量保证体系和施工安全保证体系，并提出审查意见；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(5)督促、检查承建单位执行建设工程施工合同和国家工程技术规范、标准，协调业主和承建单位之间的关系和争议；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(6)审核承建单位或业主提供的材料、构配件和设备的清单及所列规格、技术性能与质量；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(7)审批承建单位报送的施工总进度计划；审批承建单位编制的年、季、月度施工计划；分阶段协调施工进度计划，及时提出调整意见，督促承建单位实施进度计划；</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(8)根据施工进度计划协助业主编制用款计划；审核经质量验收合格的工程量，并签证工程支付申请表；协助业主进行工程竣工结算工作；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（9)督促承建单位严格按现行规范、规程、强制性质量控制标准和设计要求施工，控制工程质量；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(10)检查工程使用的材料、构配件和设备的规格、技术性能和质量；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(11)督促、检查、落实施工安全保证措施和防护措施；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(12)负责施工现场签证；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(13)检查工程进度和施工质量,进行技术复核和隐蔽工程验收,组织有关单位人员进行检验批和分项工程、分部(子分部)工程的验收,编写地基与基础、主体结构和其他主要分项工程、分部(子分部)工程和单位(子单位)工程的质量评估报告(或分阶段工程质量评估报告，报政府质量监督机构进行备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(14)参加、督促和检查对工程质量事故的调查、分析和处理；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(15)督促整理合同文件、施工技术档案资料和竣工资料；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(16)协助业主组织设计、施工和有关单位进行工程竣工初步验收,编写工程竣工验收报告，协助业主办理工程竣工的备案手续；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(17)协助业主审查工程结算；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(18)督促承建单位及时完成未完工程尾项，维修工程出现的缺陷。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 监理与相关服务依据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2.2.1 监理依据包括：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（1）合同协议书；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（2）中标通知书（如果有）；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（3）投标函及其附录（如果有）；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（4）专用合同条款及其附件；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（5）通用合同条款；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（6）技术标准和要求；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（7）图纸；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（8）已标价工程量清单或预算书；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（9）其他合同文件。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2.2.2 相关服务依据包括：监理合同。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2.3项目监理机构和人员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2.3.4 更换监理人员的其他情形：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 履行职责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2.4.3 对监理人的授权范围：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在涉及工程延期      天内和（或）金额       万元内的，监理人不需请示委托人即可向承包人发布通知。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2.4.4 监理人有权要求承包人调换其人员的限制条件：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2.5 提交报告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监理人应提交报告的种类(包括监理规划、监理月报及约定的专项报告)、时间和份数：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2.7 使用委托人的财产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附录B中由委托人无偿提供的房屋、设备的所有权属于：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监理人应在本合同终止后       天内移交委托人无偿提供的房屋、设备，移交的时间和方式为：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3. 委托人义务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3.4 委托人代表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委托人代表为：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3.6 答复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委托人同意在7天内，对监理人书面提交并要求做出决定的事宜给予书面答复。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4.1 监理人的违约责任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4.1.1监理人赔偿金额按下列方法确定：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赔偿金＝直接经济损失×正常工作酬金÷工程概算投资额（或建筑安装工程费）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 委托人的违约责任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4.2.3 委托人逾期付款利息按下列方法确定：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逾期付款利息＝当期应付款总额×银行同期贷款利率×拖延支付天数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 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5.1 支付货币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币种为：人民币，比例为：100%，汇率为：1。</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5.3 支付酬金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正常工作酬金的支付：按月支付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 合同生效、暂停、解除与终止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6.1 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本合同生效条件：本合同自签订之日起生效。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 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6.2.2 除不可抗力外，因非监理人原因导致本合同期限延长时，附加工作酬金按下列方法确定：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附加工作酬金=本合同期限延长时间（天）×正常工作酬金÷协议书约定的监理与相关服务期限（天）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6.2.3附加工作酬金按下列方法确定：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附加工作酬金=善后工作及恢复服务的准备工作时间（天）×正常工作酬金÷协议书约定的监理与相关服务期限（天）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6.2.5 正常工作酬金增加额按下列方法确定：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正常工作酬金增加额=工程投资额或建筑安装工程费增加额×正常工作酬金÷工程概算投资额（或建筑安装工程费）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6.2.6 因工程规模、监理范围的变化导致监理人的正常工作量减少时，按减少工作量的比例从协议书约定的正常工作酬金中扣减相同比例的酬金。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 争议解决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7.2 调解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本合同争议进行调解时，可提交        进行调解。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7.3 仲裁或诉讼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合同争议的最终解决方式为下列第        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（1）提请        仲裁委员会进行仲裁。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（2）向        人民法院提起诉讼。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8.2 检测费用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委托人应在检测工作完成后     天内支付检测费用。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8.3 咨询费用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委托人应在咨询工作完成后     天内支付咨询费用。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8.4 奖励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合理化建议的奖励金额按下列方法确定为：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奖励金额＝工程投资节省额×奖励金额的比率；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奖励金额的比率为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8.6 保密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委托人申明的保密事项和期限：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监理人申明的保密事项和期限：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第三方申明的保密事项和期限：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8.8著作权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监理人在本合同履行期间及本合同终止后两年内出版涉及本工程的有关监理与相关服务的资料的限制条件：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9. 补充条款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附录A  相关服务的范围和内容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A-1 勘察阶段：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A-2 设计阶段：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A-3 保修阶段：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A-4 其他（专业技术咨询、外部协调工作等）：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附录B  委托人派遣的人员和提供的房屋、资料、设备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B-1  委托人派遣的人员</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8"/>
        <w:gridCol w:w="2053"/>
        <w:gridCol w:w="247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3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名称</w:t>
            </w:r>
          </w:p>
        </w:tc>
        <w:tc>
          <w:tcPr>
            <w:tcW w:w="103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数量</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工作要求</w:t>
            </w:r>
          </w:p>
        </w:tc>
        <w:tc>
          <w:tcPr>
            <w:tcW w:w="1086"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3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1. 工程技术人员 </w:t>
            </w:r>
          </w:p>
        </w:tc>
        <w:tc>
          <w:tcPr>
            <w:tcW w:w="103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6"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3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辅助工作人员</w:t>
            </w:r>
          </w:p>
        </w:tc>
        <w:tc>
          <w:tcPr>
            <w:tcW w:w="103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6"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3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其他人员</w:t>
            </w:r>
          </w:p>
        </w:tc>
        <w:tc>
          <w:tcPr>
            <w:tcW w:w="103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6"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B-2  委托人提供的房屋</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470"/>
        <w:gridCol w:w="247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名称</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数量</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面积</w:t>
            </w: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办公用房</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 xml:space="preserve"> </w:t>
            </w: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生活用房</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试验用房</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样品用房</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用餐及其他生活条件</w:t>
            </w:r>
          </w:p>
        </w:tc>
        <w:tc>
          <w:tcPr>
            <w:tcW w:w="3571" w:type="pct"/>
            <w:gridSpan w:val="3"/>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B-3  委托人提供的资料</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1532"/>
        <w:gridCol w:w="250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名称</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份数</w:t>
            </w: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提供时间</w:t>
            </w: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工程立项文件</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工程勘察文件</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工程设计及施工图纸</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工程承包合同及其他相关合同</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5. 施工许可文件</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6. 其他文件</w:t>
            </w: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8"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770"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59"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21"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B-4 委托人提供的设备</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8"/>
        <w:gridCol w:w="1844"/>
        <w:gridCol w:w="2471"/>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名称</w:t>
            </w: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数量</w:t>
            </w: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型号与规格</w:t>
            </w: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 通讯设备</w:t>
            </w: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办公设备</w:t>
            </w: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 交通工具</w:t>
            </w: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4. 检测和试验设备</w:t>
            </w: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743"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927"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242"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c>
          <w:tcPr>
            <w:tcW w:w="1085" w:type="pct"/>
            <w:noWrap w:val="0"/>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p>
    <w:p>
      <w:pPr>
        <w:rPr>
          <w:rFonts w:ascii="宋体" w:hAnsi="宋体" w:eastAsia="宋体" w:cs="宋体"/>
          <w:spacing w:val="13"/>
          <w:sz w:val="31"/>
          <w:szCs w:val="31"/>
          <w14:textOutline w14:w="5793" w14:cap="sq" w14:cmpd="sng">
            <w14:solidFill>
              <w14:srgbClr w14:val="000000"/>
            </w14:solidFill>
            <w14:prstDash w14:val="solid"/>
            <w14:bevel/>
          </w14:textOutline>
        </w:rPr>
      </w:pPr>
      <w:r>
        <w:rPr>
          <w:rFonts w:ascii="宋体" w:hAnsi="宋体" w:eastAsia="宋体" w:cs="宋体"/>
          <w:spacing w:val="13"/>
          <w:sz w:val="31"/>
          <w:szCs w:val="31"/>
          <w14:textOutline w14:w="5793" w14:cap="sq" w14:cmpd="sng">
            <w14:solidFill>
              <w14:srgbClr w14:val="000000"/>
            </w14:solidFill>
            <w14:prstDash w14:val="solid"/>
            <w14:bevel/>
          </w14:textOutline>
        </w:rPr>
        <w:br w:type="page"/>
      </w:r>
    </w:p>
    <w:p>
      <w:pPr>
        <w:pStyle w:val="2"/>
        <w:bidi w:val="0"/>
        <w:rPr>
          <w:rFonts w:hint="eastAsia" w:ascii="宋体" w:hAnsi="宋体" w:eastAsia="宋体" w:cs="宋体"/>
          <w:lang w:eastAsia="zh-CN"/>
        </w:rPr>
      </w:pPr>
      <w:bookmarkStart w:id="13" w:name="_Toc15390"/>
      <w:r>
        <w:rPr>
          <w:rFonts w:hint="eastAsia" w:ascii="宋体" w:hAnsi="宋体" w:eastAsia="宋体" w:cs="宋体"/>
        </w:rPr>
        <w:t>五</w:t>
      </w:r>
      <w:r>
        <w:rPr>
          <w:rFonts w:hint="eastAsia" w:ascii="宋体" w:hAnsi="宋体" w:eastAsia="宋体" w:cs="宋体"/>
          <w:lang w:eastAsia="zh-CN"/>
        </w:rPr>
        <w:t>、变更资料</w:t>
      </w:r>
      <w:bookmarkEnd w:id="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lang w:val="en-US" w:eastAsia="zh-CN"/>
        </w:rPr>
      </w:pPr>
      <w:r>
        <w:rPr>
          <w:rFonts w:hint="eastAsia" w:ascii="宋体" w:hAnsi="宋体" w:eastAsia="宋体" w:cs="宋体"/>
          <w:b/>
          <w:bCs/>
          <w:spacing w:val="14"/>
          <w:sz w:val="24"/>
          <w:szCs w:val="24"/>
          <w:lang w:val="en-US" w:eastAsia="zh-CN"/>
        </w:rPr>
        <w:t>变更通知资料：</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02"/>
        <w:gridCol w:w="2689"/>
        <w:gridCol w:w="1428"/>
        <w:gridCol w:w="1717"/>
        <w:gridCol w:w="1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5000" w:type="pct"/>
            <w:gridSpan w:val="5"/>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010鲁能公馆项目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32"/>
                <w:szCs w:val="32"/>
                <w:u w:val="none"/>
                <w:lang w:val="en-US"/>
              </w:rPr>
            </w:pPr>
            <w:r>
              <w:rPr>
                <w:rFonts w:hint="eastAsia" w:ascii="宋体" w:hAnsi="宋体" w:eastAsia="宋体" w:cs="宋体"/>
                <w:b/>
                <w:bCs/>
                <w:i w:val="0"/>
                <w:iCs w:val="0"/>
                <w:snapToGrid w:val="0"/>
                <w:color w:val="000000"/>
                <w:kern w:val="0"/>
                <w:sz w:val="32"/>
                <w:szCs w:val="32"/>
                <w:u w:val="none"/>
                <w:lang w:val="en-US" w:eastAsia="zh-CN" w:bidi="ar"/>
              </w:rPr>
              <w:t>设计变更立项审批表/变更通知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5"/>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 xml:space="preserve">                                                            编号：BGTZ-010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1107" w:type="pct"/>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2070" w:type="pct"/>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010鲁能公馆项目</w:t>
            </w:r>
          </w:p>
        </w:tc>
        <w:tc>
          <w:tcPr>
            <w:tcW w:w="863"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2021年10月8日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工程变更名称</w:t>
            </w:r>
          </w:p>
        </w:tc>
        <w:tc>
          <w:tcPr>
            <w:tcW w:w="20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混凝土基础变更</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变更部位及桩号</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基础工程/1#住宅楼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变更提出人</w:t>
            </w:r>
          </w:p>
        </w:tc>
        <w:tc>
          <w:tcPr>
            <w:tcW w:w="1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天辉建设集团有限公司</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监理人</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城阳</w:t>
            </w:r>
            <w:r>
              <w:rPr>
                <w:rFonts w:hint="eastAsia" w:ascii="宋体" w:hAnsi="宋体" w:eastAsia="宋体" w:cs="宋体"/>
                <w:i w:val="0"/>
                <w:iCs w:val="0"/>
                <w:color w:val="000000"/>
                <w:sz w:val="18"/>
                <w:szCs w:val="18"/>
                <w:u w:val="none"/>
              </w:rPr>
              <w:t>工程</w:t>
            </w:r>
            <w:r>
              <w:rPr>
                <w:rFonts w:hint="eastAsia" w:ascii="宋体" w:hAnsi="宋体" w:eastAsia="宋体" w:cs="宋体"/>
                <w:i w:val="0"/>
                <w:iCs w:val="0"/>
                <w:color w:val="000000"/>
                <w:sz w:val="18"/>
                <w:szCs w:val="18"/>
                <w:u w:val="none"/>
                <w:lang w:val="en-US" w:eastAsia="zh-CN"/>
              </w:rPr>
              <w:t>建设</w:t>
            </w:r>
            <w:r>
              <w:rPr>
                <w:rFonts w:hint="eastAsia" w:ascii="宋体" w:hAnsi="宋体" w:eastAsia="宋体" w:cs="宋体"/>
                <w:i w:val="0"/>
                <w:iCs w:val="0"/>
                <w:color w:val="000000"/>
                <w:sz w:val="18"/>
                <w:szCs w:val="18"/>
                <w:u w:val="none"/>
              </w:rPr>
              <w:t>项目监理有限公司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原设计人</w:t>
            </w:r>
          </w:p>
        </w:tc>
        <w:tc>
          <w:tcPr>
            <w:tcW w:w="1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val="en-US" w:eastAsia="zh-CN"/>
              </w:rPr>
              <w:t>城阳建设</w:t>
            </w:r>
            <w:r>
              <w:rPr>
                <w:rFonts w:hint="eastAsia" w:ascii="宋体" w:hAnsi="宋体" w:eastAsia="宋体" w:cs="宋体"/>
                <w:i w:val="0"/>
                <w:iCs w:val="0"/>
                <w:color w:val="000000"/>
                <w:sz w:val="18"/>
                <w:szCs w:val="18"/>
                <w:u w:val="none"/>
                <w:lang w:eastAsia="zh-CN"/>
              </w:rPr>
              <w:t>工程设计有限公司</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承包人</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天辉建设集团有限公司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合同段</w:t>
            </w:r>
          </w:p>
        </w:tc>
        <w:tc>
          <w:tcPr>
            <w:tcW w:w="1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变更性质</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一般(C)类设计变更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是否为抢险工程</w:t>
            </w:r>
          </w:p>
        </w:tc>
        <w:tc>
          <w:tcPr>
            <w:tcW w:w="1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否</w:t>
            </w:r>
          </w:p>
        </w:tc>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变更预估金额</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-597702.01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7"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设计变更原因</w:t>
            </w:r>
          </w:p>
        </w:tc>
        <w:tc>
          <w:tcPr>
            <w:tcW w:w="3892" w:type="pct"/>
            <w:gridSpan w:val="4"/>
            <w:vMerge w:val="restart"/>
            <w:tcBorders>
              <w:top w:val="single" w:color="000000" w:sz="4" w:space="0"/>
              <w:left w:val="single" w:color="000000" w:sz="4" w:space="0"/>
              <w:bottom w:val="single" w:color="000000"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□原设计错误、遗漏        □与原设计地勘不符        □优化原设计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□技术标准、规范发生变化  □修改工艺技术            □合理化建议</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□改变使用功能            □增减工程量              □工期调整</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□地方政府或有关部门要求  □地质、气象等灾害        □其他</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本次设计变更原因：优化原设计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原设计概况</w:t>
            </w:r>
          </w:p>
        </w:tc>
        <w:tc>
          <w:tcPr>
            <w:tcW w:w="3892"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原设计混凝土基础厚度为400mm。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变更依据</w:t>
            </w:r>
          </w:p>
        </w:tc>
        <w:tc>
          <w:tcPr>
            <w:tcW w:w="3892"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施工单位在进行混凝土基础工程施工时，经过查阅相关规范要求和实际施工情况，向监理单位提出优化建议，经过四方现场确认，可进行优化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设计变更主要内容</w:t>
            </w:r>
          </w:p>
        </w:tc>
        <w:tc>
          <w:tcPr>
            <w:tcW w:w="3892"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根据实际施工要求和标准规范规定，将混凝土基础板厚优化为350mm。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0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变更立项申请的调查核实、合理性及技术经济论证比较情况简述</w:t>
            </w:r>
          </w:p>
        </w:tc>
        <w:tc>
          <w:tcPr>
            <w:tcW w:w="3892"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单位在进行混凝土基础工程施工时，经过查阅相关规范要求和实际施工情况，向监理单位提出优化建议，经过四方现场确认，可进行优化，将混凝土基础板厚优化为350mm，混凝土基础C30、P6混凝土工程量减少2100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07"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承包人意见</w:t>
            </w:r>
          </w:p>
        </w:tc>
        <w:tc>
          <w:tcPr>
            <w:tcW w:w="3892"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申请变更立项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52"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w:t>
            </w:r>
          </w:p>
        </w:tc>
        <w:tc>
          <w:tcPr>
            <w:tcW w:w="717"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8"/>
                <w:szCs w:val="18"/>
                <w:u w:val="none"/>
              </w:rPr>
            </w:pPr>
          </w:p>
        </w:tc>
        <w:tc>
          <w:tcPr>
            <w:tcW w:w="863"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07"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监理单位意见</w:t>
            </w:r>
          </w:p>
        </w:tc>
        <w:tc>
          <w:tcPr>
            <w:tcW w:w="3892"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52"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w:t>
            </w:r>
          </w:p>
        </w:tc>
        <w:tc>
          <w:tcPr>
            <w:tcW w:w="717"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8"/>
                <w:szCs w:val="18"/>
                <w:u w:val="none"/>
              </w:rPr>
            </w:pPr>
          </w:p>
        </w:tc>
        <w:tc>
          <w:tcPr>
            <w:tcW w:w="863"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07"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设计单位意见</w:t>
            </w:r>
          </w:p>
        </w:tc>
        <w:tc>
          <w:tcPr>
            <w:tcW w:w="3892" w:type="pct"/>
            <w:gridSpan w:val="4"/>
            <w:vMerge w:val="restart"/>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vMerge w:val="continue"/>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107"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52" w:type="pct"/>
            <w:tcBorders>
              <w:top w:val="nil"/>
              <w:left w:val="single" w:color="000000" w:sz="4" w:space="0"/>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w:t>
            </w:r>
          </w:p>
        </w:tc>
        <w:tc>
          <w:tcPr>
            <w:tcW w:w="717"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8"/>
                <w:szCs w:val="18"/>
                <w:u w:val="none"/>
              </w:rPr>
            </w:pPr>
          </w:p>
        </w:tc>
        <w:tc>
          <w:tcPr>
            <w:tcW w:w="86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07" w:type="pct"/>
            <w:vMerge w:val="restart"/>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建设单位意见</w:t>
            </w:r>
          </w:p>
        </w:tc>
        <w:tc>
          <w:tcPr>
            <w:tcW w:w="3892" w:type="pct"/>
            <w:gridSpan w:val="4"/>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1107"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52"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w:t>
            </w:r>
          </w:p>
        </w:tc>
        <w:tc>
          <w:tcPr>
            <w:tcW w:w="717"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8"/>
                <w:szCs w:val="18"/>
                <w:u w:val="none"/>
              </w:rPr>
            </w:pPr>
          </w:p>
        </w:tc>
        <w:tc>
          <w:tcPr>
            <w:tcW w:w="863"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07"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892" w:type="pct"/>
            <w:gridSpan w:val="4"/>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107"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52" w:type="pct"/>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w:t>
            </w:r>
          </w:p>
        </w:tc>
        <w:tc>
          <w:tcPr>
            <w:tcW w:w="717" w:type="pct"/>
            <w:tcBorders>
              <w:top w:val="nil"/>
              <w:left w:val="nil"/>
              <w:bottom w:val="single" w:color="000000" w:sz="8" w:space="0"/>
              <w:right w:val="nil"/>
            </w:tcBorders>
            <w:shd w:val="clear" w:color="auto" w:fill="auto"/>
            <w:noWrap/>
            <w:vAlign w:val="center"/>
          </w:tcPr>
          <w:p>
            <w:pPr>
              <w:rPr>
                <w:rFonts w:hint="eastAsia" w:ascii="宋体" w:hAnsi="宋体" w:eastAsia="宋体" w:cs="宋体"/>
                <w:i w:val="0"/>
                <w:iCs w:val="0"/>
                <w:color w:val="FFFFFF"/>
                <w:sz w:val="18"/>
                <w:szCs w:val="18"/>
                <w:u w:val="none"/>
              </w:rPr>
            </w:pPr>
          </w:p>
        </w:tc>
        <w:tc>
          <w:tcPr>
            <w:tcW w:w="863" w:type="pct"/>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958" w:type="pct"/>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注：本表一式四份，各单位执一份。</w:t>
            </w:r>
          </w:p>
        </w:tc>
      </w:tr>
    </w:tbl>
    <w:p>
      <w:pPr>
        <w:rPr>
          <w:rFonts w:hint="eastAsia" w:ascii="宋体" w:hAnsi="宋体" w:eastAsia="宋体" w:cs="宋体"/>
          <w:b w:val="0"/>
          <w:bCs w:val="0"/>
          <w:spacing w:val="14"/>
          <w:sz w:val="24"/>
          <w:szCs w:val="24"/>
          <w:lang w:val="en-US" w:eastAsia="zh-CN"/>
        </w:rPr>
      </w:pPr>
      <w:r>
        <w:rPr>
          <w:rFonts w:hint="eastAsia" w:ascii="宋体" w:hAnsi="宋体" w:eastAsia="宋体" w:cs="宋体"/>
          <w:b w:val="0"/>
          <w:bCs w:val="0"/>
          <w:spacing w:val="14"/>
          <w:sz w:val="24"/>
          <w:szCs w:val="24"/>
          <w:lang w:val="en-US" w:eastAsia="zh-CN"/>
        </w:rPr>
        <w:br w:type="page"/>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lang w:val="en-US" w:eastAsia="zh-CN"/>
        </w:rPr>
      </w:pPr>
      <w:r>
        <w:rPr>
          <w:rFonts w:hint="eastAsia" w:ascii="宋体" w:hAnsi="宋体" w:eastAsia="宋体" w:cs="宋体"/>
          <w:b/>
          <w:bCs/>
          <w:spacing w:val="14"/>
          <w:sz w:val="24"/>
          <w:szCs w:val="24"/>
          <w:lang w:val="en-US" w:eastAsia="zh-CN"/>
        </w:rPr>
        <w:t>变更申请资料：</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41"/>
        <w:gridCol w:w="3345"/>
        <w:gridCol w:w="1943"/>
        <w:gridCol w:w="27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010鲁能公馆项目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工程变更申请/审批单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658"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承包单位：天辉建设集团有限公司</w:t>
            </w:r>
          </w:p>
        </w:tc>
        <w:tc>
          <w:tcPr>
            <w:tcW w:w="97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标    段：</w:t>
            </w:r>
          </w:p>
        </w:tc>
        <w:tc>
          <w:tcPr>
            <w:tcW w:w="136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658"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监理单位：城阳工程建设项目监理有限公司</w:t>
            </w:r>
          </w:p>
        </w:tc>
        <w:tc>
          <w:tcPr>
            <w:tcW w:w="97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本表编号：</w:t>
            </w:r>
          </w:p>
        </w:tc>
        <w:tc>
          <w:tcPr>
            <w:tcW w:w="136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BGSQ-010</w:t>
            </w:r>
            <w:bookmarkStart w:id="19" w:name="_GoBack"/>
            <w:bookmarkEnd w:id="19"/>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76"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工程名称</w:t>
            </w:r>
          </w:p>
        </w:tc>
        <w:tc>
          <w:tcPr>
            <w:tcW w:w="1681"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010鲁能公馆项目混凝土基础变更</w:t>
            </w:r>
          </w:p>
        </w:tc>
        <w:tc>
          <w:tcPr>
            <w:tcW w:w="977" w:type="pct"/>
            <w:tcBorders>
              <w:top w:val="single" w:color="000000" w:sz="8"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提出工程变更单位</w:t>
            </w:r>
          </w:p>
        </w:tc>
        <w:tc>
          <w:tcPr>
            <w:tcW w:w="1363" w:type="pct"/>
            <w:tcBorders>
              <w:top w:val="single" w:color="000000" w:sz="8" w:space="0"/>
              <w:left w:val="single" w:color="000000"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天辉建设集团有限公司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9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桩    号</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1#住宅楼</w:t>
            </w:r>
          </w:p>
        </w:tc>
        <w:tc>
          <w:tcPr>
            <w:tcW w:w="977"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日期</w:t>
            </w:r>
          </w:p>
        </w:tc>
        <w:tc>
          <w:tcPr>
            <w:tcW w:w="1363" w:type="pct"/>
            <w:tcBorders>
              <w:top w:val="single" w:color="auto"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2021年10月11日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76" w:type="pct"/>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原设计图名称</w:t>
            </w:r>
          </w:p>
        </w:tc>
        <w:tc>
          <w:tcPr>
            <w:tcW w:w="1681"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val="en-US" w:eastAsia="zh-CN"/>
              </w:rPr>
              <w:t>混凝土基础</w:t>
            </w:r>
            <w:r>
              <w:rPr>
                <w:rFonts w:hint="eastAsia" w:ascii="宋体" w:hAnsi="宋体" w:eastAsia="宋体" w:cs="宋体"/>
                <w:i w:val="0"/>
                <w:iCs w:val="0"/>
                <w:color w:val="000000"/>
                <w:sz w:val="18"/>
                <w:szCs w:val="18"/>
                <w:u w:val="none"/>
                <w:lang w:eastAsia="zh-CN"/>
              </w:rPr>
              <w:t>施工图</w:t>
            </w:r>
          </w:p>
        </w:tc>
        <w:tc>
          <w:tcPr>
            <w:tcW w:w="9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原设计图号</w:t>
            </w:r>
          </w:p>
        </w:tc>
        <w:tc>
          <w:tcPr>
            <w:tcW w:w="1363" w:type="pct"/>
            <w:tcBorders>
              <w:top w:val="nil"/>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S5-1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变更设计图名称</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变更设计图</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变更设计图号</w:t>
            </w:r>
          </w:p>
        </w:tc>
        <w:tc>
          <w:tcPr>
            <w:tcW w:w="1363"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BGSJT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变更类别</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一般(C)类设计变更</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费用类别</w:t>
            </w:r>
          </w:p>
        </w:tc>
        <w:tc>
          <w:tcPr>
            <w:tcW w:w="1363"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变更费用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变更性质</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工程量变更、单价变更</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所在地点及部位</w:t>
            </w:r>
          </w:p>
        </w:tc>
        <w:tc>
          <w:tcPr>
            <w:tcW w:w="1363"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1#住宅楼基础工程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9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变更增减金额（元）</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-597702.01</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估计延长工期（天）</w:t>
            </w:r>
          </w:p>
        </w:tc>
        <w:tc>
          <w:tcPr>
            <w:tcW w:w="1363"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976" w:type="pct"/>
            <w:tcBorders>
              <w:top w:val="single" w:color="000000" w:sz="4" w:space="0"/>
              <w:left w:val="single" w:color="000000" w:sz="8"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工程变更理由</w:t>
            </w:r>
          </w:p>
        </w:tc>
        <w:tc>
          <w:tcPr>
            <w:tcW w:w="4023" w:type="pct"/>
            <w:gridSpan w:val="3"/>
            <w:tcBorders>
              <w:top w:val="single" w:color="000000" w:sz="4" w:space="0"/>
              <w:left w:val="single" w:color="000000" w:sz="4" w:space="0"/>
              <w:bottom w:val="single" w:color="auto"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优化原设计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76"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工程变更内容摘要（附件名称）</w:t>
            </w:r>
          </w:p>
        </w:tc>
        <w:tc>
          <w:tcPr>
            <w:tcW w:w="4023" w:type="pct"/>
            <w:gridSpan w:val="3"/>
            <w:tcBorders>
              <w:top w:val="single" w:color="auto" w:sz="4" w:space="0"/>
              <w:left w:val="single" w:color="000000"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根据实际施工要求和标准规范规定，将混凝土基础板厚优化为350mm。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76"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变更理由详情</w:t>
            </w:r>
          </w:p>
        </w:tc>
        <w:tc>
          <w:tcPr>
            <w:tcW w:w="4023" w:type="pct"/>
            <w:gridSpan w:val="3"/>
            <w:tcBorders>
              <w:top w:val="single" w:color="auto" w:sz="4" w:space="0"/>
              <w:left w:val="single" w:color="000000"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施工单位在进行混凝土基础工程施工时，经过查阅相关规范要求和实际施工情况，向监理单位提出优化建议，经过四方现场确认，可进行优化，将混凝土基础板厚优化为350mm，混凝土基础C30、P6混凝土工程量减少2100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976"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变更数量</w:t>
            </w:r>
          </w:p>
        </w:tc>
        <w:tc>
          <w:tcPr>
            <w:tcW w:w="4023" w:type="pct"/>
            <w:gridSpan w:val="3"/>
            <w:tcBorders>
              <w:top w:val="single" w:color="auto" w:sz="4" w:space="0"/>
              <w:left w:val="single" w:color="000000"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混凝土基础C30、P6混凝土工程量减少2100m³。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76"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变更单价</w:t>
            </w:r>
          </w:p>
        </w:tc>
        <w:tc>
          <w:tcPr>
            <w:tcW w:w="4023" w:type="pct"/>
            <w:gridSpan w:val="3"/>
            <w:tcBorders>
              <w:top w:val="single" w:color="auto" w:sz="4" w:space="0"/>
              <w:left w:val="single" w:color="000000"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工程量变更增加幅度超过10%，调价系数为0.9，超过10%的部分按照变更后单价结算；工程量变更减少幅度超过10%，调价系数为1.1，全部按照变更后单价进行结算。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76" w:type="pct"/>
            <w:tcBorders>
              <w:top w:val="single" w:color="auto"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承包人：</w:t>
            </w:r>
          </w:p>
        </w:tc>
        <w:tc>
          <w:tcPr>
            <w:tcW w:w="4023" w:type="pct"/>
            <w:gridSpan w:val="3"/>
            <w:tcBorders>
              <w:top w:val="single" w:color="auto"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上报变更费用申请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76"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签字人：</w:t>
            </w:r>
          </w:p>
        </w:tc>
        <w:tc>
          <w:tcPr>
            <w:tcW w:w="977"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18"/>
                <w:szCs w:val="18"/>
                <w:u w:val="none"/>
              </w:rPr>
            </w:pPr>
          </w:p>
        </w:tc>
        <w:tc>
          <w:tcPr>
            <w:tcW w:w="1363"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76"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监理单位：</w:t>
            </w:r>
          </w:p>
        </w:tc>
        <w:tc>
          <w:tcPr>
            <w:tcW w:w="4023"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976"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pct"/>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签字人：</w:t>
            </w:r>
          </w:p>
        </w:tc>
        <w:tc>
          <w:tcPr>
            <w:tcW w:w="977"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18"/>
                <w:szCs w:val="18"/>
                <w:u w:val="none"/>
              </w:rPr>
            </w:pPr>
          </w:p>
        </w:tc>
        <w:tc>
          <w:tcPr>
            <w:tcW w:w="1363"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76"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设计单位：</w:t>
            </w:r>
          </w:p>
        </w:tc>
        <w:tc>
          <w:tcPr>
            <w:tcW w:w="4023" w:type="pct"/>
            <w:gridSpan w:val="3"/>
            <w:tcBorders>
              <w:top w:val="single" w:color="000000" w:sz="4" w:space="0"/>
              <w:left w:val="nil"/>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6"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签字人：</w:t>
            </w:r>
          </w:p>
        </w:tc>
        <w:tc>
          <w:tcPr>
            <w:tcW w:w="977"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18"/>
                <w:szCs w:val="18"/>
                <w:u w:val="none"/>
              </w:rPr>
            </w:pPr>
          </w:p>
        </w:tc>
        <w:tc>
          <w:tcPr>
            <w:tcW w:w="1363"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76"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建设单位：</w:t>
            </w:r>
          </w:p>
        </w:tc>
        <w:tc>
          <w:tcPr>
            <w:tcW w:w="4023"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76"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81" w:type="pct"/>
            <w:tcBorders>
              <w:top w:val="nil"/>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签字人：</w:t>
            </w:r>
          </w:p>
        </w:tc>
        <w:tc>
          <w:tcPr>
            <w:tcW w:w="977" w:type="pct"/>
            <w:tcBorders>
              <w:top w:val="nil"/>
              <w:left w:val="nil"/>
              <w:bottom w:val="single" w:color="auto" w:sz="4" w:space="0"/>
              <w:right w:val="nil"/>
            </w:tcBorders>
            <w:shd w:val="clear" w:color="auto" w:fill="auto"/>
            <w:vAlign w:val="center"/>
          </w:tcPr>
          <w:p>
            <w:pPr>
              <w:rPr>
                <w:rFonts w:hint="eastAsia" w:ascii="宋体" w:hAnsi="宋体" w:eastAsia="宋体" w:cs="宋体"/>
                <w:i w:val="0"/>
                <w:iCs w:val="0"/>
                <w:color w:val="FFFFFF"/>
                <w:sz w:val="18"/>
                <w:szCs w:val="18"/>
                <w:u w:val="none"/>
              </w:rPr>
            </w:pPr>
          </w:p>
        </w:tc>
        <w:tc>
          <w:tcPr>
            <w:tcW w:w="1363" w:type="pc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r>
    </w:tbl>
    <w:p>
      <w:pPr>
        <w:rPr>
          <w:rFonts w:hint="eastAsia" w:ascii="宋体" w:hAnsi="宋体" w:eastAsia="宋体" w:cs="宋体"/>
          <w:b/>
          <w:bCs/>
          <w:spacing w:val="14"/>
          <w:sz w:val="24"/>
          <w:szCs w:val="24"/>
          <w:lang w:val="en-US" w:eastAsia="zh-CN"/>
        </w:rPr>
      </w:pPr>
      <w:r>
        <w:rPr>
          <w:rFonts w:hint="eastAsia" w:ascii="宋体" w:hAnsi="宋体" w:eastAsia="宋体" w:cs="宋体"/>
          <w:b/>
          <w:bCs/>
          <w:spacing w:val="14"/>
          <w:sz w:val="24"/>
          <w:szCs w:val="24"/>
          <w:lang w:val="en-US" w:eastAsia="zh-CN"/>
        </w:rPr>
        <w:br w:type="page"/>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lang w:val="en-US" w:eastAsia="zh-CN"/>
        </w:rPr>
      </w:pPr>
      <w:r>
        <w:rPr>
          <w:rFonts w:hint="eastAsia" w:ascii="宋体" w:hAnsi="宋体" w:eastAsia="宋体" w:cs="宋体"/>
          <w:b/>
          <w:bCs/>
          <w:spacing w:val="14"/>
          <w:sz w:val="24"/>
          <w:szCs w:val="24"/>
          <w:lang w:val="en-US" w:eastAsia="zh-CN"/>
        </w:rPr>
        <w:t>变更令资料：</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3"/>
        <w:gridCol w:w="2808"/>
        <w:gridCol w:w="1989"/>
        <w:gridCol w:w="1094"/>
        <w:gridCol w:w="1094"/>
        <w:gridCol w:w="1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010鲁能公馆项目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188" w:type="pct"/>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承包单位：天辉建设集团有限公司</w:t>
            </w:r>
          </w:p>
        </w:tc>
        <w:tc>
          <w:tcPr>
            <w:tcW w:w="1811"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合 同 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188"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监理单位：城阳工程建设项目监理有限公司</w:t>
            </w:r>
          </w:p>
        </w:tc>
        <w:tc>
          <w:tcPr>
            <w:tcW w:w="1811"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变更令号：BGL-010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工程名称</w:t>
            </w:r>
          </w:p>
        </w:tc>
        <w:tc>
          <w:tcPr>
            <w:tcW w:w="1412"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010鲁能公馆项目1#住宅楼基础变更</w:t>
            </w:r>
          </w:p>
        </w:tc>
        <w:tc>
          <w:tcPr>
            <w:tcW w:w="998" w:type="pct"/>
            <w:tcBorders>
              <w:top w:val="single" w:color="000000" w:sz="8"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1811" w:type="pct"/>
            <w:gridSpan w:val="3"/>
            <w:tcBorders>
              <w:top w:val="single" w:color="000000" w:sz="8" w:space="0"/>
              <w:left w:val="single" w:color="000000" w:sz="4"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2021年10月18日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桩号</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998"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变更所属计量周期</w:t>
            </w:r>
          </w:p>
        </w:tc>
        <w:tc>
          <w:tcPr>
            <w:tcW w:w="1811" w:type="pct"/>
            <w:gridSpan w:val="3"/>
            <w:tcBorders>
              <w:top w:val="single" w:color="auto" w:sz="4" w:space="0"/>
              <w:left w:val="single" w:color="000000" w:sz="4" w:space="0"/>
              <w:bottom w:val="single" w:color="000000" w:sz="4" w:space="0"/>
              <w:right w:val="single" w:color="000000" w:sz="8"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第2周期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snapToGrid w:val="0"/>
                <w:color w:val="000000"/>
                <w:kern w:val="0"/>
                <w:sz w:val="18"/>
                <w:szCs w:val="18"/>
                <w:u w:val="none"/>
                <w:lang w:eastAsia="zh-CN"/>
              </w:rPr>
            </w:pPr>
            <w:r>
              <w:rPr>
                <w:rFonts w:hint="eastAsia" w:ascii="宋体" w:hAnsi="宋体" w:eastAsia="宋体" w:cs="宋体"/>
                <w:i w:val="0"/>
                <w:iCs w:val="0"/>
                <w:color w:val="000000"/>
                <w:sz w:val="18"/>
                <w:szCs w:val="18"/>
                <w:u w:val="none"/>
                <w:lang w:val="en-US" w:eastAsia="zh-CN"/>
              </w:rPr>
              <w:t>混凝土基础</w:t>
            </w:r>
            <w:r>
              <w:rPr>
                <w:rFonts w:hint="eastAsia" w:ascii="宋体" w:hAnsi="宋体" w:eastAsia="宋体" w:cs="宋体"/>
                <w:i w:val="0"/>
                <w:iCs w:val="0"/>
                <w:color w:val="000000"/>
                <w:sz w:val="18"/>
                <w:szCs w:val="18"/>
                <w:u w:val="none"/>
                <w:lang w:eastAsia="zh-CN"/>
              </w:rPr>
              <w:t>施工图</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原设计图号</w:t>
            </w:r>
          </w:p>
        </w:tc>
        <w:tc>
          <w:tcPr>
            <w:tcW w:w="1811"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S5-1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变更设计图</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变更设计图号</w:t>
            </w:r>
          </w:p>
        </w:tc>
        <w:tc>
          <w:tcPr>
            <w:tcW w:w="1811"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BGSJT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变更引用</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引用变更申请</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变更性质</w:t>
            </w:r>
          </w:p>
        </w:tc>
        <w:tc>
          <w:tcPr>
            <w:tcW w:w="1811"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snapToGrid w:val="0"/>
                <w:color w:val="000000"/>
                <w:kern w:val="0"/>
                <w:sz w:val="18"/>
                <w:szCs w:val="18"/>
                <w:u w:val="none"/>
                <w:lang w:val="en-US" w:eastAsia="zh-CN" w:bidi="ar"/>
              </w:rPr>
              <w:t>一般(C)类设计变更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工程造价增减额（元）</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-597702.01</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估计延长工期</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（天）</w:t>
            </w:r>
          </w:p>
        </w:tc>
        <w:tc>
          <w:tcPr>
            <w:tcW w:w="1811"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restart"/>
            <w:tcBorders>
              <w:top w:val="single" w:color="000000" w:sz="4" w:space="0"/>
              <w:left w:val="single" w:color="000000" w:sz="8"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变更内容摘要</w:t>
            </w:r>
          </w:p>
        </w:tc>
        <w:tc>
          <w:tcPr>
            <w:tcW w:w="4223" w:type="pct"/>
            <w:gridSpan w:val="5"/>
            <w:vMerge w:val="restart"/>
            <w:tcBorders>
              <w:top w:val="single" w:color="000000" w:sz="4" w:space="0"/>
              <w:left w:val="single" w:color="000000" w:sz="4" w:space="0"/>
              <w:bottom w:val="single" w:color="000000"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单位在进行混凝土基础工程施工时，经过查阅相关规范要求和实际施工情况，向监理单位提出优化建议，经过四方现场确认，可进行优化，将混凝土基础板厚优化为350mm，混凝土基础C30、P6混凝土工程量减少2100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6"/>
            <w:tcBorders>
              <w:top w:val="single" w:color="000000" w:sz="4"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建设单位签发意见：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restart"/>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6" w:type="pc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p>
        </w:tc>
        <w:tc>
          <w:tcPr>
            <w:tcW w:w="1412"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8"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建设单位：</w:t>
            </w:r>
          </w:p>
        </w:tc>
        <w:tc>
          <w:tcPr>
            <w:tcW w:w="550" w:type="pct"/>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FFFFFF"/>
                <w:sz w:val="18"/>
                <w:szCs w:val="18"/>
                <w:u w:val="none"/>
              </w:rPr>
            </w:pPr>
          </w:p>
        </w:tc>
        <w:tc>
          <w:tcPr>
            <w:tcW w:w="550"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日期：</w:t>
            </w:r>
          </w:p>
        </w:tc>
        <w:tc>
          <w:tcPr>
            <w:tcW w:w="711" w:type="pct"/>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bl>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ascii="Arial"/>
          <w:sz w:val="21"/>
        </w:rPr>
        <w:sectPr>
          <w:headerReference r:id="rId10" w:type="default"/>
          <w:footerReference r:id="rId11" w:type="default"/>
          <w:pgSz w:w="11906" w:h="16839"/>
          <w:pgMar w:top="400" w:right="1088" w:bottom="1156" w:left="1089" w:header="0" w:footer="996" w:gutter="0"/>
          <w:pgNumType w:fmt="decimal"/>
          <w:cols w:space="720" w:num="1"/>
        </w:sectPr>
      </w:pPr>
    </w:p>
    <w:p>
      <w:pPr>
        <w:pStyle w:val="2"/>
        <w:numPr>
          <w:ilvl w:val="0"/>
          <w:numId w:val="1"/>
        </w:numPr>
        <w:bidi w:val="0"/>
        <w:rPr>
          <w:rFonts w:hint="eastAsia"/>
          <w:lang w:eastAsia="zh-CN"/>
        </w:rPr>
      </w:pPr>
      <w:bookmarkStart w:id="14" w:name="_Toc16212"/>
      <w:r>
        <w:rPr>
          <w:rFonts w:hint="eastAsia"/>
          <w:lang w:eastAsia="zh-CN"/>
        </w:rPr>
        <w:t>本期计量完成统计表</w:t>
      </w:r>
      <w:bookmarkEnd w:id="14"/>
      <w:r>
        <w:rPr>
          <w:rFonts w:hint="eastAsia"/>
          <w:highlight w:val="yellow"/>
          <w:lang w:eastAsia="zh-CN"/>
        </w:rPr>
        <w:t>（</w:t>
      </w:r>
      <w:r>
        <w:rPr>
          <w:rFonts w:hint="eastAsia"/>
          <w:highlight w:val="yellow"/>
          <w:lang w:val="en-US" w:eastAsia="zh-CN"/>
        </w:rPr>
        <w:t>预付款计量周期：2021年10月；实体计量周期：2021年11月</w:t>
      </w:r>
      <w:r>
        <w:rPr>
          <w:rFonts w:hint="eastAsia"/>
          <w:highlight w:val="yellow"/>
          <w:lang w:eastAsia="zh-CN"/>
        </w:rPr>
        <w:t>）</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4"/>
        <w:gridCol w:w="1020"/>
        <w:gridCol w:w="3506"/>
        <w:gridCol w:w="1219"/>
        <w:gridCol w:w="3521"/>
        <w:gridCol w:w="753"/>
        <w:gridCol w:w="1139"/>
        <w:gridCol w:w="940"/>
        <w:gridCol w:w="1816"/>
        <w:gridCol w:w="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8"/>
                <w:szCs w:val="28"/>
                <w:u w:val="single"/>
              </w:rPr>
            </w:pPr>
            <w:r>
              <w:rPr>
                <w:rFonts w:hint="eastAsia" w:ascii="宋体" w:hAnsi="宋体" w:eastAsia="宋体" w:cs="宋体"/>
                <w:b/>
                <w:bCs/>
                <w:i w:val="0"/>
                <w:iCs w:val="0"/>
                <w:snapToGrid w:val="0"/>
                <w:color w:val="000000"/>
                <w:kern w:val="0"/>
                <w:sz w:val="28"/>
                <w:szCs w:val="28"/>
                <w:u w:val="single"/>
                <w:lang w:val="en-US" w:eastAsia="zh-CN" w:bidi="ar"/>
              </w:rPr>
              <w:t>美华房地产开发有限公司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Style w:val="22"/>
                <w:rFonts w:hint="eastAsia"/>
                <w:snapToGrid w:val="0"/>
                <w:color w:val="000000"/>
                <w:lang w:val="en-US" w:eastAsia="zh-CN" w:bidi="ar"/>
              </w:rPr>
              <w:t xml:space="preserve">6.1 </w:t>
            </w:r>
            <w:r>
              <w:rPr>
                <w:rStyle w:val="22"/>
                <w:snapToGrid w:val="0"/>
                <w:color w:val="000000"/>
                <w:lang w:val="en-US" w:eastAsia="zh-CN" w:bidi="ar"/>
              </w:rPr>
              <w:t>期中计量与支付管理用表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snapToGrid w:val="0"/>
                <w:color w:val="000000"/>
                <w:kern w:val="0"/>
                <w:sz w:val="22"/>
                <w:szCs w:val="22"/>
                <w:u w:val="none"/>
                <w:lang w:val="en-US" w:eastAsia="zh-CN" w:bidi="ar"/>
              </w:rPr>
              <w:t>6.1</w:t>
            </w:r>
            <w:r>
              <w:rPr>
                <w:rFonts w:hint="default" w:ascii="Times New Roman" w:hAnsi="Times New Roman" w:eastAsia="宋体" w:cs="Times New Roman"/>
                <w:i w:val="0"/>
                <w:iCs w:val="0"/>
                <w:snapToGrid w:val="0"/>
                <w:color w:val="000000"/>
                <w:kern w:val="0"/>
                <w:sz w:val="22"/>
                <w:szCs w:val="22"/>
                <w:u w:val="none"/>
                <w:lang w:val="en-US" w:eastAsia="zh-CN" w:bidi="ar"/>
              </w:rPr>
              <w:t xml:space="preserve">.1 </w:t>
            </w:r>
            <w:r>
              <w:rPr>
                <w:rFonts w:hint="eastAsia" w:ascii="宋体" w:hAnsi="宋体" w:eastAsia="宋体" w:cs="宋体"/>
                <w:i w:val="0"/>
                <w:iCs w:val="0"/>
                <w:snapToGrid w:val="0"/>
                <w:color w:val="000000"/>
                <w:kern w:val="0"/>
                <w:sz w:val="22"/>
                <w:szCs w:val="22"/>
                <w:u w:val="none"/>
                <w:lang w:val="en-US" w:eastAsia="zh-CN" w:bidi="ar"/>
              </w:rPr>
              <w:t>工程施工类合同期中计量用表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r>
              <w:rPr>
                <w:rFonts w:hint="default" w:ascii="Times New Roman" w:hAnsi="Times New Roman" w:eastAsia="宋体" w:cs="Times New Roman"/>
                <w:i w:val="0"/>
                <w:iCs w:val="0"/>
                <w:snapToGrid w:val="0"/>
                <w:color w:val="000000"/>
                <w:kern w:val="0"/>
                <w:sz w:val="18"/>
                <w:szCs w:val="18"/>
                <w:u w:val="none"/>
                <w:lang w:val="en-US" w:eastAsia="zh-CN" w:bidi="ar"/>
              </w:rPr>
              <w:t>20</w:t>
            </w:r>
            <w:r>
              <w:rPr>
                <w:rFonts w:hint="eastAsia" w:ascii="Times New Roman" w:hAnsi="Times New Roman" w:eastAsia="宋体" w:cs="Times New Roman"/>
                <w:i w:val="0"/>
                <w:iCs w:val="0"/>
                <w:snapToGrid w:val="0"/>
                <w:color w:val="000000"/>
                <w:kern w:val="0"/>
                <w:sz w:val="18"/>
                <w:szCs w:val="18"/>
                <w:u w:val="none"/>
                <w:lang w:val="en-US" w:eastAsia="zh-CN" w:bidi="ar"/>
              </w:rPr>
              <w:t>21</w:t>
            </w:r>
            <w:r>
              <w:rPr>
                <w:rFonts w:hint="eastAsia" w:ascii="宋体" w:hAnsi="宋体" w:eastAsia="宋体" w:cs="宋体"/>
                <w:i w:val="0"/>
                <w:iCs w:val="0"/>
                <w:snapToGrid w:val="0"/>
                <w:color w:val="000000"/>
                <w:kern w:val="0"/>
                <w:sz w:val="18"/>
                <w:szCs w:val="18"/>
                <w:u w:val="none"/>
                <w:lang w:val="en-US" w:eastAsia="zh-CN" w:bidi="ar"/>
              </w:rPr>
              <w:t>年</w:t>
            </w:r>
            <w:r>
              <w:rPr>
                <w:rFonts w:hint="eastAsia" w:ascii="Times New Roman" w:hAnsi="Times New Roman" w:eastAsia="宋体" w:cs="Times New Roman"/>
                <w:i w:val="0"/>
                <w:iCs w:val="0"/>
                <w:snapToGrid w:val="0"/>
                <w:color w:val="000000"/>
                <w:kern w:val="0"/>
                <w:sz w:val="18"/>
                <w:szCs w:val="18"/>
                <w:u w:val="none"/>
                <w:lang w:val="en-US" w:eastAsia="zh-CN" w:bidi="ar"/>
              </w:rPr>
              <w:t>11</w:t>
            </w:r>
            <w:r>
              <w:rPr>
                <w:rFonts w:hint="eastAsia" w:ascii="宋体" w:hAnsi="宋体" w:eastAsia="宋体" w:cs="宋体"/>
                <w:i w:val="0"/>
                <w:iCs w:val="0"/>
                <w:snapToGrid w:val="0"/>
                <w:color w:val="000000"/>
                <w:kern w:val="0"/>
                <w:sz w:val="18"/>
                <w:szCs w:val="18"/>
                <w:u w:val="none"/>
                <w:lang w:val="en-US" w:eastAsia="zh-CN" w:bidi="ar"/>
              </w:rPr>
              <w:t>月）工程形象进度确认单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承包人：天辉建设集团有限公司        合同编号：         2021年11月进度表号：第 2 期                 第  1 页共 1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项目名称：鲁能公馆项目项目</w:t>
            </w:r>
          </w:p>
        </w:tc>
        <w:tc>
          <w:tcPr>
            <w:tcW w:w="294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工程名称：鲁能公馆项目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合同名称：鲁能公馆项目施工合同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编号</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工程内容</w:t>
            </w:r>
          </w:p>
        </w:tc>
        <w:tc>
          <w:tcPr>
            <w:tcW w:w="11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分部分项工程/措施项目</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桩号</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部位</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图号</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交工证书号</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计量比例</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附件</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33"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分部分项工程</w:t>
            </w:r>
          </w:p>
        </w:tc>
        <w:tc>
          <w:tcPr>
            <w:tcW w:w="11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1.基础工程</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1#住宅楼基础工程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S1-1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JGZS001</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检验批、报验表</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exact"/>
        </w:trPr>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2</w:t>
            </w:r>
          </w:p>
        </w:tc>
        <w:tc>
          <w:tcPr>
            <w:tcW w:w="333"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18"/>
                <w:szCs w:val="18"/>
                <w:u w:val="none"/>
                <w:lang w:val="en-US" w:eastAsia="zh-CN" w:bidi="ar"/>
              </w:rPr>
            </w:pPr>
          </w:p>
        </w:tc>
        <w:tc>
          <w:tcPr>
            <w:tcW w:w="11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2.砌体工程</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1#住宅楼砌体工程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S1-1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JGZS002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30%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检验批、报验表</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3</w:t>
            </w:r>
          </w:p>
        </w:tc>
        <w:tc>
          <w:tcPr>
            <w:tcW w:w="333" w:type="pct"/>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18"/>
                <w:szCs w:val="18"/>
                <w:u w:val="none"/>
                <w:lang w:val="en-US" w:eastAsia="zh-CN" w:bidi="ar"/>
              </w:rPr>
            </w:pPr>
          </w:p>
        </w:tc>
        <w:tc>
          <w:tcPr>
            <w:tcW w:w="11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3.混凝土及钢筋混凝土工程</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1#住宅楼主体工程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S1-1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JGZS003</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检验批、报验表</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3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措施项目工程</w:t>
            </w: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4.安全文明施工费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JGZS004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照片、发票</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5.冬雨季施工增加费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JGZS005</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6.基础梁模板</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C1-1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rPr>
            </w:pPr>
            <w:r>
              <w:rPr>
                <w:rFonts w:hint="eastAsia" w:ascii="宋体" w:hAnsi="宋体" w:eastAsia="宋体" w:cs="宋体"/>
                <w:i w:val="0"/>
                <w:iCs w:val="0"/>
                <w:snapToGrid w:val="0"/>
                <w:color w:val="000000"/>
                <w:kern w:val="0"/>
                <w:sz w:val="18"/>
                <w:szCs w:val="18"/>
                <w:u w:val="none"/>
                <w:lang w:val="en-US" w:eastAsia="zh-CN" w:bidi="ar"/>
              </w:rPr>
              <w:t>JGZS006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snapToGrid w:val="0"/>
                <w:color w:val="000000"/>
                <w:kern w:val="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7</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7.矩形柱模板</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C1-1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JGZS007</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snapToGrid w:val="0"/>
                <w:color w:val="000000"/>
                <w:kern w:val="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8</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8.直形墙模板</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C1-1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JGZS008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9</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9.过梁模板</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C1-1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JGZS009</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20%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10</w:t>
            </w:r>
          </w:p>
        </w:tc>
        <w:tc>
          <w:tcPr>
            <w:tcW w:w="3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10.垫层模板</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1#住宅楼措施工程</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C1-1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JGZS010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exact"/>
        </w:trPr>
        <w:tc>
          <w:tcPr>
            <w:tcW w:w="178"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11</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变更工程</w:t>
            </w:r>
          </w:p>
        </w:tc>
        <w:tc>
          <w:tcPr>
            <w:tcW w:w="114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11.混凝土基础工程变更</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w:t>
            </w:r>
          </w:p>
        </w:tc>
        <w:tc>
          <w:tcPr>
            <w:tcW w:w="1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1#住宅楼基础工程（变更）</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BGSJT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BG-010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100%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照片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numPr>
          <w:ilvl w:val="0"/>
          <w:numId w:val="0"/>
        </w:numPr>
        <w:kinsoku w:val="0"/>
        <w:autoSpaceDE w:val="0"/>
        <w:autoSpaceDN w:val="0"/>
        <w:adjustRightInd w:val="0"/>
        <w:snapToGrid w:val="0"/>
        <w:spacing w:before="91" w:line="220" w:lineRule="auto"/>
        <w:jc w:val="left"/>
        <w:textAlignment w:val="baseline"/>
        <w:outlineLvl w:val="9"/>
        <w:rPr>
          <w:rFonts w:hint="eastAsia" w:ascii="宋体" w:hAnsi="宋体" w:eastAsia="宋体" w:cs="宋体"/>
          <w:spacing w:val="7"/>
          <w:sz w:val="31"/>
          <w:szCs w:val="31"/>
          <w:lang w:eastAsia="zh-CN"/>
          <w14:textOutline w14:w="5793" w14:cap="sq" w14:cmpd="sng">
            <w14:solidFill>
              <w14:srgbClr w14:val="000000"/>
            </w14:solidFill>
            <w14:prstDash w14:val="solid"/>
            <w14:bevel/>
          </w14:textOutline>
        </w:rPr>
        <w:sectPr>
          <w:pgSz w:w="16839" w:h="11906" w:orient="landscape"/>
          <w:pgMar w:top="1089" w:right="873" w:bottom="1015" w:left="873" w:header="0" w:footer="996" w:gutter="0"/>
          <w:pgNumType w:fmt="decimal"/>
          <w:cols w:space="720" w:num="1"/>
        </w:sectPr>
      </w:pPr>
    </w:p>
    <w:p>
      <w:pPr>
        <w:pStyle w:val="2"/>
        <w:numPr>
          <w:ilvl w:val="0"/>
          <w:numId w:val="1"/>
        </w:numPr>
        <w:bidi w:val="0"/>
        <w:rPr>
          <w:rFonts w:hint="eastAsia"/>
          <w:lang w:eastAsia="zh-CN"/>
        </w:rPr>
      </w:pPr>
      <w:bookmarkStart w:id="15" w:name="_Toc11077"/>
      <w:r>
        <w:rPr>
          <w:rFonts w:hint="eastAsia"/>
          <w:lang w:eastAsia="zh-CN"/>
        </w:rPr>
        <w:t>附件资料</w:t>
      </w:r>
      <w:bookmarkEnd w:id="15"/>
    </w:p>
    <w:p>
      <w:pPr>
        <w:numPr>
          <w:ilvl w:val="0"/>
          <w:numId w:val="0"/>
        </w:numPr>
        <w:spacing w:before="75" w:line="390" w:lineRule="auto"/>
        <w:ind w:right="18" w:rightChars="0"/>
        <w:rPr>
          <w:rFonts w:hint="eastAsia" w:ascii="宋体" w:hAnsi="宋体" w:eastAsia="宋体" w:cs="宋体"/>
          <w:b/>
          <w:bCs/>
          <w:spacing w:val="14"/>
          <w:sz w:val="24"/>
          <w:szCs w:val="24"/>
          <w:lang w:eastAsia="zh-CN"/>
        </w:rPr>
      </w:pPr>
      <w:r>
        <w:rPr>
          <w:rFonts w:hint="eastAsia" w:ascii="宋体" w:hAnsi="宋体" w:eastAsia="宋体" w:cs="宋体"/>
          <w:b/>
          <w:bCs/>
          <w:spacing w:val="14"/>
          <w:sz w:val="24"/>
          <w:szCs w:val="24"/>
          <w:lang w:eastAsia="zh-CN"/>
        </w:rPr>
        <w:t>详见附件</w:t>
      </w:r>
      <w:r>
        <w:rPr>
          <w:rFonts w:hint="eastAsia" w:ascii="宋体" w:hAnsi="宋体" w:eastAsia="宋体" w:cs="宋体"/>
          <w:b/>
          <w:bCs/>
          <w:spacing w:val="14"/>
          <w:sz w:val="24"/>
          <w:szCs w:val="24"/>
          <w:lang w:val="en-US" w:eastAsia="zh-CN"/>
        </w:rPr>
        <w:t>1</w:t>
      </w:r>
    </w:p>
    <w:p>
      <w:pPr>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br w:type="page"/>
      </w:r>
    </w:p>
    <w:p>
      <w:pPr>
        <w:pStyle w:val="2"/>
        <w:numPr>
          <w:ilvl w:val="0"/>
          <w:numId w:val="1"/>
        </w:numPr>
        <w:bidi w:val="0"/>
        <w:rPr>
          <w:rFonts w:hint="eastAsia"/>
          <w:lang w:eastAsia="zh-CN"/>
        </w:rPr>
      </w:pPr>
      <w:bookmarkStart w:id="16" w:name="_Toc23528"/>
      <w:r>
        <w:rPr>
          <w:rFonts w:hint="eastAsia"/>
          <w:lang w:eastAsia="zh-CN"/>
        </w:rPr>
        <w:t>清单计量操作帮助文档</w:t>
      </w:r>
      <w:bookmarkEnd w:id="16"/>
    </w:p>
    <w:p>
      <w:pPr>
        <w:numPr>
          <w:ilvl w:val="0"/>
          <w:numId w:val="0"/>
        </w:numPr>
        <w:spacing w:before="75" w:line="390" w:lineRule="auto"/>
        <w:ind w:right="18" w:rightChars="0"/>
        <w:rPr>
          <w:rFonts w:hint="eastAsia" w:ascii="宋体" w:hAnsi="宋体" w:eastAsia="宋体" w:cs="宋体"/>
          <w:b/>
          <w:bCs/>
          <w:spacing w:val="14"/>
          <w:sz w:val="24"/>
          <w:szCs w:val="24"/>
          <w:lang w:eastAsia="zh-CN"/>
        </w:rPr>
      </w:pPr>
      <w:r>
        <w:rPr>
          <w:rFonts w:hint="eastAsia" w:ascii="宋体" w:hAnsi="宋体" w:eastAsia="宋体" w:cs="宋体"/>
          <w:b/>
          <w:bCs/>
          <w:spacing w:val="14"/>
          <w:sz w:val="24"/>
          <w:szCs w:val="24"/>
          <w:lang w:eastAsia="zh-CN"/>
        </w:rPr>
        <w:t>详见附件</w:t>
      </w:r>
      <w:r>
        <w:rPr>
          <w:rFonts w:hint="eastAsia" w:ascii="宋体" w:hAnsi="宋体" w:eastAsia="宋体" w:cs="宋体"/>
          <w:b/>
          <w:bCs/>
          <w:spacing w:val="14"/>
          <w:sz w:val="24"/>
          <w:szCs w:val="24"/>
          <w:lang w:val="en-US" w:eastAsia="zh-CN"/>
        </w:rPr>
        <w:t>3</w:t>
      </w:r>
    </w:p>
    <w:p>
      <w:pPr>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br w:type="page"/>
      </w:r>
    </w:p>
    <w:p>
      <w:pPr>
        <w:pStyle w:val="2"/>
        <w:numPr>
          <w:ilvl w:val="0"/>
          <w:numId w:val="1"/>
        </w:numPr>
        <w:bidi w:val="0"/>
        <w:rPr>
          <w:rFonts w:hint="eastAsia"/>
          <w:lang w:eastAsia="zh-CN"/>
        </w:rPr>
      </w:pPr>
      <w:bookmarkStart w:id="17" w:name="_Toc11533"/>
      <w:r>
        <w:rPr>
          <w:rFonts w:hint="eastAsia"/>
          <w:lang w:eastAsia="zh-CN"/>
        </w:rPr>
        <w:t>计量与支付考题</w:t>
      </w:r>
      <w:bookmarkEnd w:id="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根据以下素材，具体内容见相关文件夹，完成所有考核项。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1.工程项目概况；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2.施工合同；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3.监理合同；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4.合同工程量清单；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5.变更资料；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6.本期形象进度完成情况；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7.附件资料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8.</w:t>
      </w:r>
      <w:r>
        <w:rPr>
          <w:rFonts w:hint="eastAsia" w:ascii="宋体" w:hAnsi="宋体" w:eastAsia="宋体" w:cs="宋体"/>
          <w:spacing w:val="14"/>
          <w:sz w:val="24"/>
          <w:szCs w:val="24"/>
          <w:lang w:eastAsia="zh-CN"/>
        </w:rPr>
        <w:t>清单计量操作文档。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lang w:val="en-US" w:eastAsia="zh-CN"/>
        </w:rPr>
      </w:pPr>
      <w:r>
        <w:rPr>
          <w:rFonts w:hint="eastAsia" w:ascii="宋体" w:hAnsi="宋体" w:eastAsia="宋体" w:cs="宋体"/>
          <w:b/>
          <w:bCs/>
          <w:spacing w:val="14"/>
          <w:sz w:val="24"/>
          <w:szCs w:val="24"/>
          <w:lang w:eastAsia="zh-CN"/>
        </w:rPr>
        <w:t>考核项</w:t>
      </w:r>
      <w:r>
        <w:rPr>
          <w:rFonts w:hint="eastAsia" w:ascii="宋体" w:hAnsi="宋体" w:eastAsia="宋体" w:cs="宋体"/>
          <w:b/>
          <w:bCs/>
          <w:spacing w:val="14"/>
          <w:sz w:val="24"/>
          <w:szCs w:val="24"/>
          <w:lang w:val="en-US" w:eastAsia="zh-CN"/>
        </w:rPr>
        <w:t>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highlight w:val="none"/>
          <w:lang w:eastAsia="zh-CN"/>
        </w:rPr>
        <w:t>根据素材资料及完成的计量与支付报表及附件等资料，完成理论考核，</w:t>
      </w:r>
      <w:r>
        <w:rPr>
          <w:rFonts w:hint="eastAsia" w:ascii="宋体" w:hAnsi="宋体" w:eastAsia="宋体" w:cs="宋体"/>
          <w:spacing w:val="14"/>
          <w:sz w:val="24"/>
          <w:szCs w:val="24"/>
          <w:highlight w:val="none"/>
          <w:lang w:val="en-US" w:eastAsia="zh-CN"/>
        </w:rPr>
        <w:t>理论题库可在平台学习中心进行下载学习，下载路径如下：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lang w:val="en-US" w:eastAsia="zh-CN"/>
        </w:rPr>
      </w:pPr>
      <w:r>
        <w:drawing>
          <wp:inline distT="0" distB="0" distL="114300" distR="114300">
            <wp:extent cx="6271895" cy="2884805"/>
            <wp:effectExtent l="0" t="0" r="1905"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6271895" cy="2884805"/>
                    </a:xfrm>
                    <a:prstGeom prst="rect">
                      <a:avLst/>
                    </a:prstGeom>
                    <a:noFill/>
                    <a:ln>
                      <a:noFill/>
                    </a:ln>
                  </pic:spPr>
                </pic:pic>
              </a:graphicData>
            </a:graphic>
          </wp:inline>
        </w:drawing>
      </w:r>
    </w:p>
    <w:p>
      <w:pPr>
        <w:numPr>
          <w:ilvl w:val="0"/>
          <w:numId w:val="0"/>
        </w:numPr>
        <w:spacing w:before="75" w:line="390" w:lineRule="auto"/>
        <w:ind w:right="18" w:rightChars="0"/>
        <w:rPr>
          <w:rFonts w:hint="eastAsia" w:ascii="宋体" w:hAnsi="宋体" w:eastAsia="宋体" w:cs="宋体"/>
          <w:spacing w:val="14"/>
          <w:sz w:val="24"/>
          <w:szCs w:val="24"/>
          <w:highlight w:val="none"/>
          <w:lang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b/>
          <w:bCs/>
          <w:spacing w:val="14"/>
          <w:sz w:val="24"/>
          <w:szCs w:val="24"/>
          <w:lang w:eastAsia="zh-CN"/>
        </w:rPr>
        <w:t>考核项</w:t>
      </w:r>
      <w:r>
        <w:rPr>
          <w:rFonts w:hint="eastAsia" w:ascii="宋体" w:hAnsi="宋体" w:eastAsia="宋体" w:cs="宋体"/>
          <w:b/>
          <w:bCs/>
          <w:spacing w:val="14"/>
          <w:sz w:val="24"/>
          <w:szCs w:val="24"/>
          <w:lang w:val="en-US" w:eastAsia="zh-CN"/>
        </w:rPr>
        <w:t>2</w:t>
      </w:r>
      <w:r>
        <w:rPr>
          <w:rFonts w:hint="eastAsia" w:ascii="宋体" w:hAnsi="宋体" w:eastAsia="宋体" w:cs="宋体"/>
          <w:spacing w:val="14"/>
          <w:sz w:val="24"/>
          <w:szCs w:val="24"/>
          <w:lang w:eastAsia="zh-CN"/>
        </w:rPr>
        <w:t>：根据案例资料，完成一期预付款及一期实体工程的计量与支付，完成实操考核。</w:t>
      </w:r>
    </w:p>
    <w:p>
      <w:pPr>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br w:type="page"/>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p>
    <w:p>
      <w:pPr>
        <w:pStyle w:val="2"/>
        <w:numPr>
          <w:ilvl w:val="0"/>
          <w:numId w:val="1"/>
        </w:numPr>
        <w:bidi w:val="0"/>
        <w:rPr>
          <w:rFonts w:hint="eastAsia"/>
          <w:lang w:eastAsia="zh-CN"/>
        </w:rPr>
      </w:pPr>
      <w:bookmarkStart w:id="18" w:name="_Toc3871"/>
      <w:r>
        <w:rPr>
          <w:rFonts w:hint="eastAsia"/>
          <w:lang w:eastAsia="zh-CN"/>
        </w:rPr>
        <w:t>评分细则</w:t>
      </w:r>
      <w:bookmarkEnd w:id="18"/>
    </w:p>
    <w:p>
      <w:pPr>
        <w:numPr>
          <w:ilvl w:val="0"/>
          <w:numId w:val="0"/>
        </w:numPr>
        <w:spacing w:before="75" w:line="390" w:lineRule="auto"/>
        <w:ind w:right="18" w:rightChars="0"/>
        <w:rPr>
          <w:rFonts w:hint="eastAsia" w:ascii="宋体" w:hAnsi="宋体" w:eastAsia="宋体" w:cs="宋体"/>
          <w:b w:val="0"/>
          <w:bCs w:val="0"/>
          <w:spacing w:val="14"/>
          <w:sz w:val="24"/>
          <w:szCs w:val="24"/>
          <w:lang w:eastAsia="zh-CN"/>
        </w:rPr>
      </w:pPr>
      <w:r>
        <w:rPr>
          <w:rFonts w:hint="eastAsia" w:ascii="宋体" w:hAnsi="宋体" w:eastAsia="宋体" w:cs="宋体"/>
          <w:b/>
          <w:bCs/>
          <w:spacing w:val="14"/>
          <w:sz w:val="24"/>
          <w:szCs w:val="24"/>
          <w:lang w:eastAsia="zh-CN"/>
        </w:rPr>
        <w:t>（</w:t>
      </w:r>
      <w:r>
        <w:rPr>
          <w:rFonts w:hint="eastAsia" w:ascii="宋体" w:hAnsi="宋体" w:eastAsia="宋体" w:cs="宋体"/>
          <w:b/>
          <w:bCs/>
          <w:spacing w:val="14"/>
          <w:sz w:val="24"/>
          <w:szCs w:val="24"/>
          <w:lang w:val="en-US" w:eastAsia="zh-CN"/>
        </w:rPr>
        <w:t>1</w:t>
      </w:r>
      <w:r>
        <w:rPr>
          <w:rFonts w:hint="eastAsia" w:ascii="宋体" w:hAnsi="宋体" w:eastAsia="宋体" w:cs="宋体"/>
          <w:b/>
          <w:bCs/>
          <w:spacing w:val="14"/>
          <w:sz w:val="24"/>
          <w:szCs w:val="24"/>
          <w:lang w:eastAsia="zh-CN"/>
        </w:rPr>
        <w:t>）理论考核（总分</w:t>
      </w:r>
      <w:r>
        <w:rPr>
          <w:rFonts w:hint="eastAsia" w:ascii="宋体" w:hAnsi="宋体" w:eastAsia="宋体" w:cs="宋体"/>
          <w:b/>
          <w:bCs/>
          <w:spacing w:val="14"/>
          <w:sz w:val="24"/>
          <w:szCs w:val="24"/>
          <w:lang w:val="en-US" w:eastAsia="zh-CN"/>
        </w:rPr>
        <w:t>10</w:t>
      </w:r>
      <w:r>
        <w:rPr>
          <w:rFonts w:hint="eastAsia" w:ascii="宋体" w:hAnsi="宋体" w:eastAsia="宋体" w:cs="宋体"/>
          <w:b/>
          <w:bCs/>
          <w:spacing w:val="14"/>
          <w:sz w:val="24"/>
          <w:szCs w:val="24"/>
          <w:lang w:eastAsia="zh-CN"/>
        </w:rPr>
        <w:t>0分，占总成绩的</w:t>
      </w:r>
      <w:r>
        <w:rPr>
          <w:rFonts w:hint="eastAsia" w:ascii="宋体" w:hAnsi="宋体" w:eastAsia="宋体" w:cs="宋体"/>
          <w:b/>
          <w:bCs/>
          <w:spacing w:val="14"/>
          <w:sz w:val="24"/>
          <w:szCs w:val="24"/>
          <w:lang w:val="en-US" w:eastAsia="zh-CN"/>
        </w:rPr>
        <w:t>5</w:t>
      </w:r>
      <w:r>
        <w:rPr>
          <w:rFonts w:hint="eastAsia" w:ascii="宋体" w:hAnsi="宋体" w:eastAsia="宋体" w:cs="宋体"/>
          <w:b/>
          <w:bCs/>
          <w:spacing w:val="14"/>
          <w:sz w:val="24"/>
          <w:szCs w:val="24"/>
          <w:lang w:eastAsia="zh-CN"/>
        </w:rPr>
        <w:t>0%）：</w:t>
      </w:r>
      <w:r>
        <w:rPr>
          <w:rFonts w:hint="eastAsia" w:ascii="宋体" w:hAnsi="宋体" w:eastAsia="宋体" w:cs="宋体"/>
          <w:b w:val="0"/>
          <w:bCs w:val="0"/>
          <w:spacing w:val="14"/>
          <w:sz w:val="24"/>
          <w:szCs w:val="24"/>
          <w:lang w:eastAsia="zh-CN"/>
        </w:rPr>
        <w:t>考核学生作为一名合格的合约工程师应该掌握的知识能力素养，具体理论考核评分细则如下：</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6"/>
        <w:gridCol w:w="1272"/>
        <w:gridCol w:w="1971"/>
        <w:gridCol w:w="900"/>
        <w:gridCol w:w="957"/>
        <w:gridCol w:w="4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blHeader/>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kern w:val="0"/>
                <w:sz w:val="28"/>
                <w:szCs w:val="28"/>
                <w:u w:val="none"/>
                <w:lang w:val="en-US" w:eastAsia="zh-CN" w:bidi="ar"/>
              </w:rPr>
              <w:t>理论考核评分细则（占总成绩的50%）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blHeader/>
        </w:trPr>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序号</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项目</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能力</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分值</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汇总</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考核标准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w:t>
            </w:r>
          </w:p>
        </w:tc>
        <w:tc>
          <w:tcPr>
            <w:tcW w:w="62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项目管理基础知识</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项目全生命周期的造价管理</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8</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了解估算、概算、预算，决算，得2分；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掌握结算，得2分；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总投资的概念及组成</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了解总投资的概念及组成，得2分；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建安费的组成</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掌握建安费的组成，得2分；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3"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629"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招投标与合同管理</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工程招投标</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8</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了解工程招投标的程序，得2分；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了解招投标文件的组成，得2分；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33"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合同文件的组成</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掌握合同文件的组成，得2分；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掌握合同文件的解释优先顺序，得2分；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3"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合同条款</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14</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掌握合同通用条款，得2分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掌握合同专用条款，得2分；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433" w:type="pct"/>
            <w:vMerge w:val="continue"/>
            <w:tcBorders>
              <w:top w:val="nil"/>
              <w:left w:val="single" w:color="000000"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合同费用条款的计量</w:t>
            </w:r>
          </w:p>
        </w:tc>
        <w:tc>
          <w:tcPr>
            <w:tcW w:w="445"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w:t>
            </w:r>
          </w:p>
        </w:tc>
        <w:tc>
          <w:tcPr>
            <w:tcW w:w="47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掌握预付款的支付与扣回，得4分；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掌握保证金的支付与扣回，得2分；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掌握暂列金额的计量，得2分；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掌握暂估价的计量，得2分；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3" w:type="pct"/>
            <w:vMerge w:val="restart"/>
            <w:tcBorders>
              <w:top w:val="single" w:color="auto" w:sz="4" w:space="0"/>
              <w:left w:val="single" w:color="auto"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w:t>
            </w:r>
          </w:p>
        </w:tc>
        <w:tc>
          <w:tcPr>
            <w:tcW w:w="629" w:type="pct"/>
            <w:vMerge w:val="restart"/>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识图及工程量核算</w:t>
            </w:r>
          </w:p>
        </w:tc>
        <w:tc>
          <w:tcPr>
            <w:tcW w:w="97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工程量清单的组成、说明及工程量清单计量规则</w:t>
            </w:r>
          </w:p>
        </w:tc>
        <w:tc>
          <w:tcPr>
            <w:tcW w:w="445"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473" w:type="pct"/>
            <w:vMerge w:val="restart"/>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24</w:t>
            </w:r>
          </w:p>
        </w:tc>
        <w:tc>
          <w:tcPr>
            <w:tcW w:w="2040" w:type="pct"/>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掌握工程量清单的组成、说明及工程量清单计量规则，得6分；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pct"/>
            <w:vMerge w:val="continue"/>
            <w:tcBorders>
              <w:top w:val="single" w:color="000000" w:sz="4" w:space="0"/>
              <w:left w:val="single" w:color="auto" w:sz="4" w:space="0"/>
              <w:bottom w:val="nil"/>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依据图纸、工程量清单计量规则及合同相关文件，准确计算工程量清单计量工程量</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7</w:t>
            </w:r>
          </w:p>
        </w:tc>
        <w:tc>
          <w:tcPr>
            <w:tcW w:w="47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掌握依据图纸、工程量清单计量规则及合同相关文件，准确计算工程量的能力，得5分；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33" w:type="pct"/>
            <w:vMerge w:val="continue"/>
            <w:tcBorders>
              <w:top w:val="single" w:color="000000" w:sz="4" w:space="0"/>
              <w:left w:val="single" w:color="auto"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工程量清单计量所需附件及相关证明资料</w:t>
            </w:r>
          </w:p>
        </w:tc>
        <w:tc>
          <w:tcPr>
            <w:tcW w:w="445"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7</w:t>
            </w:r>
          </w:p>
        </w:tc>
        <w:tc>
          <w:tcPr>
            <w:tcW w:w="47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掌握工程量清单计量所需附件及相关证明资料，得5分；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33" w:type="pct"/>
            <w:vMerge w:val="continue"/>
            <w:tcBorders>
              <w:top w:val="single" w:color="auto" w:sz="4" w:space="0"/>
              <w:left w:val="single" w:color="auto"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现场完成进度的统计</w:t>
            </w:r>
          </w:p>
        </w:tc>
        <w:tc>
          <w:tcPr>
            <w:tcW w:w="445"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掌握现场完成形象进度的统计，得2分；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掌握现场完成工程量的计算，得2分；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33" w:type="pct"/>
            <w:vMerge w:val="restart"/>
            <w:tcBorders>
              <w:top w:val="single" w:color="auto" w:sz="4" w:space="0"/>
              <w:left w:val="single" w:color="auto"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629" w:type="pct"/>
            <w:vMerge w:val="restart"/>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w:t>
            </w:r>
          </w:p>
        </w:tc>
        <w:tc>
          <w:tcPr>
            <w:tcW w:w="97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计量与支付报表的逻辑与编制</w:t>
            </w:r>
          </w:p>
        </w:tc>
        <w:tc>
          <w:tcPr>
            <w:tcW w:w="445"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22</w:t>
            </w:r>
          </w:p>
        </w:tc>
        <w:tc>
          <w:tcPr>
            <w:tcW w:w="2040" w:type="pct"/>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掌握计量与支付报表的逻辑与编制，得4分；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433" w:type="pct"/>
            <w:vMerge w:val="continue"/>
            <w:tcBorders>
              <w:top w:val="single" w:color="000000" w:sz="4" w:space="0"/>
              <w:left w:val="single" w:color="auto"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计量与支付月报表中计量工程量及其附件资料的审核</w:t>
            </w:r>
          </w:p>
        </w:tc>
        <w:tc>
          <w:tcPr>
            <w:tcW w:w="445"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掌握计量与支付月报表中计量工程量及其附件资料的审核，得4分；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433" w:type="pct"/>
            <w:vMerge w:val="continue"/>
            <w:tcBorders>
              <w:top w:val="single" w:color="auto" w:sz="4" w:space="0"/>
              <w:left w:val="single" w:color="auto"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计量与支付的程序、原则、方式和审核</w:t>
            </w:r>
          </w:p>
        </w:tc>
        <w:tc>
          <w:tcPr>
            <w:tcW w:w="445"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8</w:t>
            </w:r>
          </w:p>
        </w:tc>
        <w:tc>
          <w:tcPr>
            <w:tcW w:w="473"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掌握计量与支付的程序，得2分；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掌握计量与支付的原则，得2分；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掌握计量与支付的方式，得2分；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掌握计量与支付的审核，得2分；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3" w:type="pct"/>
            <w:vMerge w:val="continue"/>
            <w:tcBorders>
              <w:top w:val="single" w:color="auto" w:sz="4" w:space="0"/>
              <w:left w:val="single" w:color="auto" w:sz="4" w:space="0"/>
              <w:bottom w:val="nil"/>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auto" w:sz="4" w:space="0"/>
              <w:left w:val="single" w:color="000000" w:sz="4" w:space="0"/>
              <w:bottom w:val="nil"/>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计量与支付台账</w:t>
            </w:r>
          </w:p>
        </w:tc>
        <w:tc>
          <w:tcPr>
            <w:tcW w:w="445"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473"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掌握工程计量与支付台账的编制，得3分；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掌握计量与支付台账的数据分析，得3分；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433"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5</w:t>
            </w:r>
          </w:p>
        </w:tc>
        <w:tc>
          <w:tcPr>
            <w:tcW w:w="62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合同价款调整</w:t>
            </w: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变更引起的合同价款调整</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w:t>
            </w:r>
          </w:p>
        </w:tc>
        <w:tc>
          <w:tcPr>
            <w:tcW w:w="47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13</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掌握变更的程序，得2分；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掌握变更资料的编制，得2分；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掌握变更工程量和单价的计算，得4分；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掌握变更的计量，得2分；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33" w:type="pct"/>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nil"/>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价格波动引起的合同价款调整</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w:t>
            </w:r>
          </w:p>
        </w:tc>
        <w:tc>
          <w:tcPr>
            <w:tcW w:w="47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掌握价格调整的依据，得1分；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掌握价格调整的方法，得2分；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6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交工结算</w:t>
            </w: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工程交工验收的程序及相关要点</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了解工程交工验收的程序及相关要点，得2分；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交工结算文件的编制</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了解交工结算文件的编制，得4分；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7</w:t>
            </w:r>
          </w:p>
        </w:tc>
        <w:tc>
          <w:tcPr>
            <w:tcW w:w="6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成本分析</w:t>
            </w: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成本管理体系</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5</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了解企业成本管理体系相关基础知识，得2分；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成本规划、成本核算、成本控制</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w:t>
            </w: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了解成本规划、成本核算、成本控制相关基础知识，得3分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20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合计</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100</w:t>
            </w:r>
          </w:p>
        </w:tc>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100</w:t>
            </w:r>
          </w:p>
        </w:tc>
        <w:tc>
          <w:tcPr>
            <w:tcW w:w="20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bl>
    <w:p>
      <w:pPr>
        <w:numPr>
          <w:ilvl w:val="0"/>
          <w:numId w:val="0"/>
        </w:numPr>
        <w:spacing w:before="75" w:line="390" w:lineRule="auto"/>
        <w:ind w:right="18" w:rightChars="0"/>
        <w:rPr>
          <w:rFonts w:hint="eastAsia" w:ascii="宋体" w:hAnsi="宋体" w:eastAsia="宋体" w:cs="宋体"/>
          <w:b/>
          <w:bCs/>
          <w:spacing w:val="14"/>
          <w:sz w:val="24"/>
          <w:szCs w:val="24"/>
          <w:lang w:eastAsia="zh-CN"/>
        </w:rPr>
      </w:pPr>
    </w:p>
    <w:p>
      <w:pPr>
        <w:numPr>
          <w:ilvl w:val="0"/>
          <w:numId w:val="0"/>
        </w:numPr>
        <w:spacing w:before="75" w:line="390" w:lineRule="auto"/>
        <w:ind w:right="18" w:rightChars="0"/>
        <w:rPr>
          <w:rFonts w:hint="eastAsia" w:ascii="宋体" w:hAnsi="宋体" w:eastAsia="宋体" w:cs="宋体"/>
          <w:b w:val="0"/>
          <w:bCs w:val="0"/>
          <w:spacing w:val="14"/>
          <w:sz w:val="24"/>
          <w:szCs w:val="24"/>
          <w:lang w:eastAsia="zh-CN"/>
        </w:rPr>
      </w:pPr>
      <w:r>
        <w:rPr>
          <w:rFonts w:hint="eastAsia" w:ascii="宋体" w:hAnsi="宋体" w:eastAsia="宋体" w:cs="宋体"/>
          <w:b/>
          <w:bCs/>
          <w:spacing w:val="14"/>
          <w:sz w:val="24"/>
          <w:szCs w:val="24"/>
          <w:lang w:eastAsia="zh-CN"/>
        </w:rPr>
        <w:t>（</w:t>
      </w:r>
      <w:r>
        <w:rPr>
          <w:rFonts w:hint="eastAsia" w:ascii="宋体" w:hAnsi="宋体" w:eastAsia="宋体" w:cs="宋体"/>
          <w:b/>
          <w:bCs/>
          <w:spacing w:val="14"/>
          <w:sz w:val="24"/>
          <w:szCs w:val="24"/>
          <w:lang w:val="en-US" w:eastAsia="zh-CN"/>
        </w:rPr>
        <w:t>2</w:t>
      </w:r>
      <w:r>
        <w:rPr>
          <w:rFonts w:hint="eastAsia" w:ascii="宋体" w:hAnsi="宋体" w:eastAsia="宋体" w:cs="宋体"/>
          <w:b/>
          <w:bCs/>
          <w:spacing w:val="14"/>
          <w:sz w:val="24"/>
          <w:szCs w:val="24"/>
          <w:lang w:eastAsia="zh-CN"/>
        </w:rPr>
        <w:t>）实操考核（总分</w:t>
      </w:r>
      <w:r>
        <w:rPr>
          <w:rFonts w:hint="eastAsia" w:ascii="宋体" w:hAnsi="宋体" w:eastAsia="宋体" w:cs="宋体"/>
          <w:b/>
          <w:bCs/>
          <w:spacing w:val="14"/>
          <w:sz w:val="24"/>
          <w:szCs w:val="24"/>
          <w:lang w:val="en-US" w:eastAsia="zh-CN"/>
        </w:rPr>
        <w:t>10</w:t>
      </w:r>
      <w:r>
        <w:rPr>
          <w:rFonts w:hint="eastAsia" w:ascii="宋体" w:hAnsi="宋体" w:eastAsia="宋体" w:cs="宋体"/>
          <w:b/>
          <w:bCs/>
          <w:spacing w:val="14"/>
          <w:sz w:val="24"/>
          <w:szCs w:val="24"/>
          <w:lang w:eastAsia="zh-CN"/>
        </w:rPr>
        <w:t>0分，占总成绩的50%）：</w:t>
      </w:r>
      <w:r>
        <w:rPr>
          <w:rFonts w:hint="eastAsia" w:ascii="宋体" w:hAnsi="宋体" w:eastAsia="宋体" w:cs="宋体"/>
          <w:b w:val="0"/>
          <w:bCs w:val="0"/>
          <w:spacing w:val="14"/>
          <w:sz w:val="24"/>
          <w:szCs w:val="24"/>
          <w:lang w:eastAsia="zh-CN"/>
        </w:rPr>
        <w:t>考核对学生计量与支付信息化平台的动手实操能力，根据案例资料，完成一期预付款及一期实体工程的计量与支付，具体实操考核评分细则如下：</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4"/>
        <w:gridCol w:w="1250"/>
        <w:gridCol w:w="1764"/>
        <w:gridCol w:w="806"/>
        <w:gridCol w:w="5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blHeader/>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实操考核评分细则（占总分的50%）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blHeader/>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序号</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操作步骤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分值</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项目列表模块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建项目：项目信息的录入</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1.项目信息按照案例资料录入，信息录入正确，得满分，信息录入有误，有误项在3项以内，得2分，3项以上，不得分。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2</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合同列表模块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建合同：合同信息的录入</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1.合同信息按照案例资料录入，信息录入正确，得满分，信息录入有误，有误项在3项以内，得2分，3项以上，不得分。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参建用户模块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建参建用户：施工单位、监理单位合约工程师</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1.根据案例资料添加施工单位、监理单位人员，添加正确得2分，添加错误不得分；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2.授权项目及合同权限，授权正确得2分，授权错误不得分；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3.设置角色，设置正确得2分，设置错误不得分。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报表管理模块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报表配置：计量与支付标准报表导入</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1.根据案例资料导入计量与支付标准报表，导入正确得4分，导入错误不得分。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5</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清单管理模块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清单导入：导入合同工程量清单</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清单设置：规费税金设置、附件验证设置</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1.根据案例资料导入合同工程量清单，导入正确得2分，导入错误不得分；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2.根据案例资料设置规费税金，设置正确得4分，设置错误不得分；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3.根据案例资料设置附件验证，设置正确得4分，设置有误，有误项在3项以内，得2分，3项以上，不得分。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6</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合同费用管理模块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预付款设置：预付款的支付与扣回</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暂列金额：暂列金额的计划金额与结算金额计算</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质量保证金：质量保证金的自动扣除设置</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农民工工资保证金：农民工工资保证金的自动扣除设置</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16</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1.根据案例资料，计算预付款的金额并录入系统，录入正确得4分，录入错误不得分；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2.根据案例资料，设置预付款的扣回方式，设置正确得4分，设置错误不得分；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3.根据案例资料，设置质量保证金的自动扣除，设置正确得4分，设置错误不得分；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4.根据案例资料，设置农民工工资保证金的自动扣除，设置正确得4分，设置错误不得分。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7</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流程管理模块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流程配置：计量与支付流程、变更流程</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12</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1.根据案例资料，配置计量与支付流程，流程配置正确得6分，配置错误不得分；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2.根据案例资料，配置变更流程，流程配置正确得6分，配置错误不得分；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8</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周期管理模块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建周期：预付款周期、普通周期</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4</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1.根据案例资料，添加预付款周期，周期信息正确得2分，错误不得分；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2.根据案例资料，添加普通周期，周期信息正确得2分，错误不得分；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9</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计量与支付模块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工程量清单计量与支付</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变更计量与支付</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合同费用条款计量与支付</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30</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1.根据案例资料，施工单位上报预付款及一期实体工程的计量与支付，工程量计算正确得10，每错一项扣1分；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2.根据案例资料，上传每项清单对应的附件资料，上传正确得10分，漏传一项附件扣1分，错传不得分；</w:t>
            </w:r>
            <w:r>
              <w:rPr>
                <w:rFonts w:hint="eastAsia" w:ascii="仿宋" w:hAnsi="仿宋" w:eastAsia="仿宋" w:cs="仿宋"/>
                <w:i w:val="0"/>
                <w:iCs w:val="0"/>
                <w:snapToGrid w:val="0"/>
                <w:color w:val="000000"/>
                <w:kern w:val="0"/>
                <w:sz w:val="21"/>
                <w:szCs w:val="21"/>
                <w:u w:val="none"/>
                <w:lang w:val="en-US" w:eastAsia="zh-CN" w:bidi="ar"/>
              </w:rPr>
              <w:br w:type="textWrapping"/>
            </w:r>
            <w:r>
              <w:rPr>
                <w:rFonts w:hint="eastAsia" w:ascii="仿宋" w:hAnsi="仿宋" w:eastAsia="仿宋" w:cs="仿宋"/>
                <w:i w:val="0"/>
                <w:iCs w:val="0"/>
                <w:snapToGrid w:val="0"/>
                <w:color w:val="000000"/>
                <w:kern w:val="0"/>
                <w:sz w:val="21"/>
                <w:szCs w:val="21"/>
                <w:u w:val="none"/>
                <w:lang w:val="en-US" w:eastAsia="zh-CN" w:bidi="ar"/>
              </w:rPr>
              <w:t>3.根据案例资料，进行变更通知、变更申请及变更令的上报、审核和审批，并进行变更令的发布及计量，变更通知、变更申请及变更令信息录入无误得6分，录入错误不得分，变更令发布正确得2分，发布错误不得分，变更计量正确得2分，计算错误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报表输出模块</w:t>
            </w:r>
          </w:p>
        </w:tc>
        <w:tc>
          <w:tcPr>
            <w:tcW w:w="8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导出一期计量与支付月报表</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1.导出一期计量与支付月报表，按照标准格式排版打印，报表正确得6分，格式美观整洁得4分。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19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合计</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100</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r>
    </w:tbl>
    <w:p>
      <w:pPr>
        <w:numPr>
          <w:ilvl w:val="0"/>
          <w:numId w:val="0"/>
        </w:numPr>
        <w:spacing w:before="75" w:line="390" w:lineRule="auto"/>
        <w:ind w:right="18" w:rightChars="0"/>
        <w:rPr>
          <w:rFonts w:hint="eastAsia" w:ascii="宋体" w:hAnsi="宋体" w:eastAsia="宋体" w:cs="宋体"/>
          <w:b w:val="0"/>
          <w:bCs w:val="0"/>
          <w:spacing w:val="14"/>
          <w:sz w:val="24"/>
          <w:szCs w:val="24"/>
          <w:lang w:eastAsia="zh-CN"/>
        </w:rPr>
      </w:pPr>
    </w:p>
    <w:p>
      <w:pPr>
        <w:numPr>
          <w:ilvl w:val="0"/>
          <w:numId w:val="0"/>
        </w:numPr>
        <w:spacing w:before="75" w:line="390" w:lineRule="auto"/>
        <w:ind w:right="18" w:rightChars="0"/>
        <w:rPr>
          <w:rFonts w:hint="eastAsia" w:ascii="宋体" w:hAnsi="宋体" w:eastAsia="宋体" w:cs="宋体"/>
          <w:b/>
          <w:bCs/>
          <w:spacing w:val="14"/>
          <w:sz w:val="24"/>
          <w:szCs w:val="24"/>
          <w:lang w:eastAsia="zh-CN"/>
        </w:rPr>
      </w:pPr>
      <w:r>
        <w:rPr>
          <w:rFonts w:hint="eastAsia" w:ascii="宋体" w:hAnsi="宋体" w:eastAsia="宋体" w:cs="宋体"/>
          <w:b/>
          <w:bCs/>
          <w:spacing w:val="14"/>
          <w:sz w:val="24"/>
          <w:szCs w:val="24"/>
          <w:lang w:eastAsia="zh-CN"/>
        </w:rPr>
        <w:t>（</w:t>
      </w:r>
      <w:r>
        <w:rPr>
          <w:rFonts w:hint="eastAsia" w:ascii="宋体" w:hAnsi="宋体" w:eastAsia="宋体" w:cs="宋体"/>
          <w:b/>
          <w:bCs/>
          <w:spacing w:val="14"/>
          <w:sz w:val="24"/>
          <w:szCs w:val="24"/>
          <w:lang w:val="en-US" w:eastAsia="zh-CN"/>
        </w:rPr>
        <w:t>3</w:t>
      </w:r>
      <w:r>
        <w:rPr>
          <w:rFonts w:hint="eastAsia" w:ascii="宋体" w:hAnsi="宋体" w:eastAsia="宋体" w:cs="宋体"/>
          <w:b/>
          <w:bCs/>
          <w:spacing w:val="14"/>
          <w:sz w:val="24"/>
          <w:szCs w:val="24"/>
          <w:lang w:eastAsia="zh-CN"/>
        </w:rPr>
        <w:t>）总成绩</w:t>
      </w:r>
    </w:p>
    <w:p>
      <w:pPr>
        <w:numPr>
          <w:ilvl w:val="0"/>
          <w:numId w:val="0"/>
        </w:numPr>
        <w:spacing w:before="75" w:line="390" w:lineRule="auto"/>
        <w:ind w:right="18" w:rightChars="0"/>
        <w:rPr>
          <w:rFonts w:hint="eastAsia" w:ascii="宋体" w:hAnsi="宋体" w:eastAsia="宋体" w:cs="宋体"/>
          <w:b w:val="0"/>
          <w:bCs w:val="0"/>
          <w:spacing w:val="14"/>
          <w:sz w:val="24"/>
          <w:szCs w:val="24"/>
          <w:highlight w:val="none"/>
          <w:lang w:eastAsia="zh-CN"/>
        </w:rPr>
      </w:pPr>
      <w:r>
        <w:rPr>
          <w:rFonts w:hint="eastAsia" w:ascii="宋体" w:hAnsi="宋体" w:eastAsia="宋体" w:cs="宋体"/>
          <w:b w:val="0"/>
          <w:bCs w:val="0"/>
          <w:spacing w:val="14"/>
          <w:sz w:val="24"/>
          <w:szCs w:val="24"/>
          <w:highlight w:val="none"/>
          <w:lang w:eastAsia="zh-CN"/>
        </w:rPr>
        <w:t>团队每位成员均需作答，</w:t>
      </w:r>
      <w:r>
        <w:rPr>
          <w:rFonts w:hint="eastAsia" w:ascii="宋体" w:hAnsi="宋体" w:eastAsia="宋体" w:cs="宋体"/>
          <w:b w:val="0"/>
          <w:bCs w:val="0"/>
          <w:spacing w:val="14"/>
          <w:sz w:val="24"/>
          <w:szCs w:val="24"/>
          <w:highlight w:val="none"/>
          <w:lang w:val="en-US" w:eastAsia="zh-CN"/>
        </w:rPr>
        <w:t>团队</w:t>
      </w:r>
      <w:r>
        <w:rPr>
          <w:rFonts w:hint="eastAsia" w:ascii="宋体" w:hAnsi="宋体" w:eastAsia="宋体" w:cs="宋体"/>
          <w:b w:val="0"/>
          <w:bCs w:val="0"/>
          <w:spacing w:val="14"/>
          <w:sz w:val="24"/>
          <w:szCs w:val="24"/>
          <w:highlight w:val="none"/>
          <w:lang w:eastAsia="zh-CN"/>
        </w:rPr>
        <w:t>成绩总分满分为100分，</w:t>
      </w:r>
      <w:r>
        <w:rPr>
          <w:rFonts w:hint="eastAsia" w:ascii="宋体" w:hAnsi="宋体" w:eastAsia="宋体" w:cs="宋体"/>
          <w:b w:val="0"/>
          <w:bCs w:val="0"/>
          <w:spacing w:val="14"/>
          <w:sz w:val="24"/>
          <w:szCs w:val="24"/>
          <w:highlight w:val="none"/>
          <w:lang w:val="en-US" w:eastAsia="zh-CN"/>
        </w:rPr>
        <w:t>团队</w:t>
      </w:r>
      <w:r>
        <w:rPr>
          <w:rFonts w:hint="eastAsia" w:ascii="宋体" w:hAnsi="宋体" w:eastAsia="宋体" w:cs="宋体"/>
          <w:b w:val="0"/>
          <w:bCs w:val="0"/>
          <w:spacing w:val="14"/>
          <w:sz w:val="24"/>
          <w:szCs w:val="24"/>
          <w:highlight w:val="none"/>
          <w:lang w:eastAsia="zh-CN"/>
        </w:rPr>
        <w:t>成绩组成如下：</w:t>
      </w:r>
    </w:p>
    <w:p>
      <w:pPr>
        <w:numPr>
          <w:ilvl w:val="0"/>
          <w:numId w:val="0"/>
        </w:numPr>
        <w:spacing w:before="75" w:line="390" w:lineRule="auto"/>
        <w:ind w:right="18" w:rightChars="0"/>
        <w:rPr>
          <w:rFonts w:hint="eastAsia" w:ascii="宋体" w:hAnsi="宋体" w:eastAsia="宋体" w:cs="宋体"/>
          <w:b w:val="0"/>
          <w:bCs w:val="0"/>
          <w:spacing w:val="14"/>
          <w:sz w:val="24"/>
          <w:szCs w:val="24"/>
          <w:highlight w:val="none"/>
          <w:lang w:eastAsia="zh-CN"/>
        </w:rPr>
      </w:pPr>
      <w:r>
        <w:rPr>
          <w:rFonts w:hint="eastAsia" w:ascii="宋体" w:hAnsi="宋体" w:eastAsia="宋体" w:cs="宋体"/>
          <w:b w:val="0"/>
          <w:bCs w:val="0"/>
          <w:spacing w:val="14"/>
          <w:sz w:val="24"/>
          <w:szCs w:val="24"/>
          <w:highlight w:val="none"/>
          <w:lang w:val="en-US" w:eastAsia="zh-CN"/>
        </w:rPr>
        <w:t>团队</w:t>
      </w:r>
      <w:r>
        <w:rPr>
          <w:rFonts w:hint="eastAsia" w:ascii="宋体" w:hAnsi="宋体" w:eastAsia="宋体" w:cs="宋体"/>
          <w:b w:val="0"/>
          <w:bCs w:val="0"/>
          <w:spacing w:val="14"/>
          <w:sz w:val="24"/>
          <w:szCs w:val="24"/>
          <w:highlight w:val="none"/>
          <w:lang w:eastAsia="zh-CN"/>
        </w:rPr>
        <w:t>成绩=理论考核×50%+实操×</w:t>
      </w:r>
      <w:r>
        <w:rPr>
          <w:rFonts w:hint="eastAsia" w:ascii="宋体" w:hAnsi="宋体" w:eastAsia="宋体" w:cs="宋体"/>
          <w:b w:val="0"/>
          <w:bCs w:val="0"/>
          <w:spacing w:val="14"/>
          <w:sz w:val="24"/>
          <w:szCs w:val="24"/>
          <w:highlight w:val="none"/>
          <w:lang w:val="en-US" w:eastAsia="zh-CN"/>
        </w:rPr>
        <w:t>5</w:t>
      </w:r>
      <w:r>
        <w:rPr>
          <w:rFonts w:hint="eastAsia" w:ascii="宋体" w:hAnsi="宋体" w:eastAsia="宋体" w:cs="宋体"/>
          <w:b w:val="0"/>
          <w:bCs w:val="0"/>
          <w:spacing w:val="14"/>
          <w:sz w:val="24"/>
          <w:szCs w:val="24"/>
          <w:highlight w:val="none"/>
          <w:lang w:eastAsia="zh-CN"/>
        </w:rPr>
        <w:t>0%。</w:t>
      </w:r>
    </w:p>
    <w:p>
      <w:pPr>
        <w:numPr>
          <w:ilvl w:val="0"/>
          <w:numId w:val="0"/>
        </w:numPr>
        <w:spacing w:before="75" w:line="390" w:lineRule="auto"/>
        <w:ind w:right="18" w:rightChars="0"/>
        <w:rPr>
          <w:rFonts w:hint="eastAsia" w:ascii="宋体" w:hAnsi="宋体" w:eastAsia="宋体" w:cs="宋体"/>
          <w:b w:val="0"/>
          <w:bCs w:val="0"/>
          <w:spacing w:val="14"/>
          <w:sz w:val="24"/>
          <w:szCs w:val="24"/>
          <w:highlight w:val="none"/>
          <w:lang w:eastAsia="zh-CN"/>
        </w:rPr>
      </w:pPr>
      <w:r>
        <w:rPr>
          <w:rFonts w:hint="eastAsia" w:ascii="宋体" w:hAnsi="宋体" w:eastAsia="宋体" w:cs="宋体"/>
          <w:b w:val="0"/>
          <w:bCs w:val="0"/>
          <w:spacing w:val="14"/>
          <w:sz w:val="24"/>
          <w:szCs w:val="24"/>
          <w:highlight w:val="none"/>
          <w:lang w:eastAsia="zh-CN"/>
        </w:rPr>
        <w:t>（备注：如团队内成员报名成功但未参考，按照0分计算）</w:t>
      </w:r>
    </w:p>
    <w:p>
      <w:pPr>
        <w:numPr>
          <w:ilvl w:val="0"/>
          <w:numId w:val="0"/>
        </w:numPr>
        <w:spacing w:before="75" w:line="390" w:lineRule="auto"/>
        <w:ind w:right="18" w:rightChars="0"/>
        <w:rPr>
          <w:rFonts w:hint="eastAsia" w:ascii="宋体" w:hAnsi="宋体" w:eastAsia="宋体" w:cs="宋体"/>
          <w:b w:val="0"/>
          <w:bCs w:val="0"/>
          <w:spacing w:val="14"/>
          <w:sz w:val="24"/>
          <w:szCs w:val="24"/>
          <w:lang w:eastAsia="zh-CN"/>
        </w:rPr>
      </w:pPr>
    </w:p>
    <w:sectPr>
      <w:headerReference r:id="rId12" w:type="default"/>
      <w:footerReference r:id="rId13" w:type="default"/>
      <w:pgSz w:w="11906" w:h="16839"/>
      <w:pgMar w:top="400" w:right="1067" w:bottom="400" w:left="95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25" w:lineRule="auto"/>
      <w:ind w:left="3315"/>
      <w:rPr>
        <w:rFonts w:ascii="宋体" w:hAnsi="宋体" w:eastAsia="宋体" w:cs="宋体"/>
        <w:sz w:val="29"/>
        <w:szCs w:val="2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 o:spid="_x0000_s4097" o:spt="75" type="#_x0000_t75" style="position:absolute;left:0pt;margin-left:90pt;margin-top:358.8pt;height:124.25pt;width:415.35pt;mso-position-horizontal-relative:page;mso-position-vertical-relative:page;z-index:-251657216;mso-width-relative:page;mso-height-relative:page;" filled="f" stroked="f" coordsize="21600,21600" o:allowincell="f">
          <v:path/>
          <v:fill on="f" focussize="0,0"/>
          <v:stroke on="f"/>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3" o:spid="_x0000_s4098" o:spt="75" type="#_x0000_t75" style="position:absolute;left:0pt;margin-left:90pt;margin-top:358.8pt;height:124.25pt;width:415.35pt;mso-position-horizontal-relative:page;mso-position-vertical-relative:page;z-index:-251656192;mso-width-relative:page;mso-height-relative:page;" filled="f" stroked="f" coordsize="21600,21600" o:allowincell="f">
          <v:path/>
          <v:fill on="f" focussize="0,0"/>
          <v:stroke on="f"/>
          <v:imagedata r:id="rId1"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2" o:spid="_x0000_s4099" o:spt="75" type="#_x0000_t75" style="position:absolute;left:0pt;margin-left:90pt;margin-top:358.8pt;height:124.25pt;width:415.35pt;mso-position-horizontal-relative:page;mso-position-vertical-relative:page;z-index:-251655168;mso-width-relative:page;mso-height-relative:page;" filled="f" stroked="f" coordsize="21600,21600" o:allowincell="f">
          <v:path/>
          <v:fill on="f" focussize="0,0"/>
          <v:stroke on="f"/>
          <v:imagedata r:id="rId1" o:title=""/>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52" o:spid="_x0000_s4100" o:spt="75" type="#_x0000_t75" style="position:absolute;left:0pt;margin-left:90pt;margin-top:358.8pt;height:124.25pt;width:415.35pt;mso-position-horizontal-relative:page;mso-position-vertical-relative:page;z-index:-251652096;mso-width-relative:page;mso-height-relative:page;" filled="f" stroked="f" coordsize="21600,21600" o:allowincell="f">
          <v:path/>
          <v:fill on="f" focussize="0,0"/>
          <v:stroke on="f"/>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C9352"/>
    <w:multiLevelType w:val="singleLevel"/>
    <w:tmpl w:val="B5DC935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Q4YjU1Nzc5MjJjYzYxZTI0YTAzYjAwMTM2Y2Y0NzQifQ=="/>
  </w:docVars>
  <w:rsids>
    <w:rsidRoot w:val="00000000"/>
    <w:rsid w:val="00D6759B"/>
    <w:rsid w:val="00F9785A"/>
    <w:rsid w:val="027C4CC0"/>
    <w:rsid w:val="030E7E36"/>
    <w:rsid w:val="035838D2"/>
    <w:rsid w:val="03A84C81"/>
    <w:rsid w:val="03BB4035"/>
    <w:rsid w:val="053376DE"/>
    <w:rsid w:val="058A39EA"/>
    <w:rsid w:val="05D94A6C"/>
    <w:rsid w:val="076E08D2"/>
    <w:rsid w:val="095938C6"/>
    <w:rsid w:val="0A195EBE"/>
    <w:rsid w:val="0A5B3A75"/>
    <w:rsid w:val="0B2215CF"/>
    <w:rsid w:val="0B4D2A54"/>
    <w:rsid w:val="0CB9509C"/>
    <w:rsid w:val="0D272220"/>
    <w:rsid w:val="0D4F13B5"/>
    <w:rsid w:val="0DE37B95"/>
    <w:rsid w:val="0EB048E9"/>
    <w:rsid w:val="12887C05"/>
    <w:rsid w:val="128E4883"/>
    <w:rsid w:val="13C62793"/>
    <w:rsid w:val="15020CEC"/>
    <w:rsid w:val="16AD7E42"/>
    <w:rsid w:val="16E52CA7"/>
    <w:rsid w:val="17367C2F"/>
    <w:rsid w:val="17BE75C4"/>
    <w:rsid w:val="19200B7C"/>
    <w:rsid w:val="1A28414D"/>
    <w:rsid w:val="1AFB72AE"/>
    <w:rsid w:val="1C4C08FC"/>
    <w:rsid w:val="1E5906A7"/>
    <w:rsid w:val="1E7B061E"/>
    <w:rsid w:val="1EEB10B8"/>
    <w:rsid w:val="20564C98"/>
    <w:rsid w:val="221A6F3B"/>
    <w:rsid w:val="23515DF1"/>
    <w:rsid w:val="24343749"/>
    <w:rsid w:val="25616279"/>
    <w:rsid w:val="25B66A25"/>
    <w:rsid w:val="25F92BFF"/>
    <w:rsid w:val="26997075"/>
    <w:rsid w:val="27EB1F4E"/>
    <w:rsid w:val="28073F25"/>
    <w:rsid w:val="2815340C"/>
    <w:rsid w:val="28B23F2D"/>
    <w:rsid w:val="2920429C"/>
    <w:rsid w:val="2ADB42ED"/>
    <w:rsid w:val="2C8E776E"/>
    <w:rsid w:val="2CAA4033"/>
    <w:rsid w:val="2D5432FF"/>
    <w:rsid w:val="2E2347CE"/>
    <w:rsid w:val="2FFB15BE"/>
    <w:rsid w:val="35E17638"/>
    <w:rsid w:val="366C4FC4"/>
    <w:rsid w:val="37DA6487"/>
    <w:rsid w:val="37FE4B63"/>
    <w:rsid w:val="381F0608"/>
    <w:rsid w:val="388359A0"/>
    <w:rsid w:val="39A768AB"/>
    <w:rsid w:val="39B03221"/>
    <w:rsid w:val="39FC040D"/>
    <w:rsid w:val="3A066CE6"/>
    <w:rsid w:val="3B4B164C"/>
    <w:rsid w:val="3B500FCE"/>
    <w:rsid w:val="3B985F13"/>
    <w:rsid w:val="3BCA1846"/>
    <w:rsid w:val="3D50086A"/>
    <w:rsid w:val="3D560D03"/>
    <w:rsid w:val="3D5F430F"/>
    <w:rsid w:val="3EE33949"/>
    <w:rsid w:val="3F72470B"/>
    <w:rsid w:val="3FEE77B2"/>
    <w:rsid w:val="40763AEB"/>
    <w:rsid w:val="40FA626B"/>
    <w:rsid w:val="45F80074"/>
    <w:rsid w:val="46157643"/>
    <w:rsid w:val="4624173D"/>
    <w:rsid w:val="464B2CF8"/>
    <w:rsid w:val="46BF2EEE"/>
    <w:rsid w:val="479C6E13"/>
    <w:rsid w:val="47F95F8C"/>
    <w:rsid w:val="48BF0F83"/>
    <w:rsid w:val="49356546"/>
    <w:rsid w:val="4AAA7A11"/>
    <w:rsid w:val="4B0F4A62"/>
    <w:rsid w:val="4BA6563A"/>
    <w:rsid w:val="4D7D5055"/>
    <w:rsid w:val="505A7726"/>
    <w:rsid w:val="51181B78"/>
    <w:rsid w:val="51954F77"/>
    <w:rsid w:val="528F7E0F"/>
    <w:rsid w:val="547C41CC"/>
    <w:rsid w:val="548117E3"/>
    <w:rsid w:val="550F2A82"/>
    <w:rsid w:val="55FC07CB"/>
    <w:rsid w:val="566719E9"/>
    <w:rsid w:val="56AC5C27"/>
    <w:rsid w:val="57523725"/>
    <w:rsid w:val="57AF05EC"/>
    <w:rsid w:val="58C87577"/>
    <w:rsid w:val="599F01F4"/>
    <w:rsid w:val="5C001B87"/>
    <w:rsid w:val="5CF1631B"/>
    <w:rsid w:val="5CF24F00"/>
    <w:rsid w:val="5DB055AD"/>
    <w:rsid w:val="5E3C52E2"/>
    <w:rsid w:val="5F8D50CD"/>
    <w:rsid w:val="62EC519E"/>
    <w:rsid w:val="631101D6"/>
    <w:rsid w:val="63C62C1B"/>
    <w:rsid w:val="640E2948"/>
    <w:rsid w:val="643248A8"/>
    <w:rsid w:val="64A30288"/>
    <w:rsid w:val="656D111B"/>
    <w:rsid w:val="66963E6A"/>
    <w:rsid w:val="66F8358B"/>
    <w:rsid w:val="67184C5F"/>
    <w:rsid w:val="67863B78"/>
    <w:rsid w:val="6A8007D7"/>
    <w:rsid w:val="6AB45E62"/>
    <w:rsid w:val="6AE37D60"/>
    <w:rsid w:val="6C164321"/>
    <w:rsid w:val="6C3557A5"/>
    <w:rsid w:val="6E11552E"/>
    <w:rsid w:val="6EA57BB3"/>
    <w:rsid w:val="6EA77C40"/>
    <w:rsid w:val="6F7402B7"/>
    <w:rsid w:val="706E16BA"/>
    <w:rsid w:val="70D772D8"/>
    <w:rsid w:val="73DB6DF2"/>
    <w:rsid w:val="75794487"/>
    <w:rsid w:val="76EA02DF"/>
    <w:rsid w:val="76FD0144"/>
    <w:rsid w:val="77B014EE"/>
    <w:rsid w:val="78DF7AF5"/>
    <w:rsid w:val="78E765C5"/>
    <w:rsid w:val="7B5551A9"/>
    <w:rsid w:val="7B91773C"/>
    <w:rsid w:val="7C30396B"/>
    <w:rsid w:val="7C36614C"/>
    <w:rsid w:val="7D2A729E"/>
    <w:rsid w:val="7DF37A24"/>
    <w:rsid w:val="7E123328"/>
    <w:rsid w:val="7E7F64E4"/>
    <w:rsid w:val="7E9712AE"/>
    <w:rsid w:val="7F5931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footer"/>
    <w:basedOn w:val="1"/>
    <w:qFormat/>
    <w:uiPriority w:val="0"/>
    <w:pPr>
      <w:snapToGrid w:val="0"/>
      <w:ind w:right="210" w:rightChars="100"/>
      <w:jc w:val="right"/>
    </w:pPr>
    <w:rPr>
      <w:sz w:val="18"/>
      <w:szCs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21"/>
    <w:basedOn w:val="8"/>
    <w:qFormat/>
    <w:uiPriority w:val="0"/>
    <w:rPr>
      <w:rFonts w:hint="eastAsia" w:ascii="宋体" w:hAnsi="宋体" w:eastAsia="宋体" w:cs="宋体"/>
      <w:color w:val="000000"/>
      <w:sz w:val="18"/>
      <w:szCs w:val="18"/>
      <w:u w:val="none"/>
    </w:rPr>
  </w:style>
  <w:style w:type="character" w:customStyle="1" w:styleId="11">
    <w:name w:val="font51"/>
    <w:basedOn w:val="8"/>
    <w:qFormat/>
    <w:uiPriority w:val="0"/>
    <w:rPr>
      <w:rFonts w:hint="eastAsia" w:ascii="宋体" w:hAnsi="宋体" w:eastAsia="宋体" w:cs="宋体"/>
      <w:color w:val="000000"/>
      <w:sz w:val="9"/>
      <w:szCs w:val="9"/>
      <w:u w:val="none"/>
    </w:rPr>
  </w:style>
  <w:style w:type="character" w:customStyle="1" w:styleId="12">
    <w:name w:val="font31"/>
    <w:basedOn w:val="8"/>
    <w:qFormat/>
    <w:uiPriority w:val="0"/>
    <w:rPr>
      <w:rFonts w:hint="eastAsia" w:ascii="宋体" w:hAnsi="宋体" w:eastAsia="宋体" w:cs="宋体"/>
      <w:color w:val="000000"/>
      <w:sz w:val="20"/>
      <w:szCs w:val="20"/>
      <w:u w:val="none"/>
    </w:rPr>
  </w:style>
  <w:style w:type="character" w:customStyle="1" w:styleId="13">
    <w:name w:val="font91"/>
    <w:basedOn w:val="8"/>
    <w:qFormat/>
    <w:uiPriority w:val="0"/>
    <w:rPr>
      <w:rFonts w:hint="eastAsia" w:ascii="宋体" w:hAnsi="宋体" w:eastAsia="宋体" w:cs="宋体"/>
      <w:color w:val="000000"/>
      <w:sz w:val="20"/>
      <w:szCs w:val="20"/>
      <w:u w:val="none"/>
      <w:vertAlign w:val="superscript"/>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character" w:customStyle="1" w:styleId="17">
    <w:name w:val="font101"/>
    <w:basedOn w:val="8"/>
    <w:qFormat/>
    <w:uiPriority w:val="0"/>
    <w:rPr>
      <w:rFonts w:hint="eastAsia" w:ascii="宋体" w:hAnsi="宋体" w:eastAsia="宋体" w:cs="宋体"/>
      <w:b/>
      <w:bCs/>
      <w:color w:val="000000"/>
      <w:sz w:val="28"/>
      <w:szCs w:val="28"/>
      <w:u w:val="single"/>
    </w:rPr>
  </w:style>
  <w:style w:type="character" w:customStyle="1" w:styleId="18">
    <w:name w:val="font41"/>
    <w:basedOn w:val="8"/>
    <w:qFormat/>
    <w:uiPriority w:val="0"/>
    <w:rPr>
      <w:rFonts w:hint="default" w:ascii="Times New Roman" w:hAnsi="Times New Roman" w:cs="Times New Roman"/>
      <w:b/>
      <w:bCs/>
      <w:color w:val="000000"/>
      <w:sz w:val="22"/>
      <w:szCs w:val="22"/>
      <w:u w:val="none"/>
    </w:rPr>
  </w:style>
  <w:style w:type="character" w:customStyle="1" w:styleId="19">
    <w:name w:val="font111"/>
    <w:basedOn w:val="8"/>
    <w:qFormat/>
    <w:uiPriority w:val="0"/>
    <w:rPr>
      <w:rFonts w:hint="eastAsia" w:ascii="宋体" w:hAnsi="宋体" w:eastAsia="宋体" w:cs="宋体"/>
      <w:b/>
      <w:bCs/>
      <w:color w:val="000000"/>
      <w:sz w:val="22"/>
      <w:szCs w:val="22"/>
      <w:u w:val="none"/>
    </w:rPr>
  </w:style>
  <w:style w:type="character" w:customStyle="1" w:styleId="20">
    <w:name w:val="font61"/>
    <w:basedOn w:val="8"/>
    <w:qFormat/>
    <w:uiPriority w:val="0"/>
    <w:rPr>
      <w:rFonts w:hint="default" w:ascii="Times New Roman" w:hAnsi="Times New Roman" w:cs="Times New Roman"/>
      <w:color w:val="000000"/>
      <w:sz w:val="22"/>
      <w:szCs w:val="22"/>
      <w:u w:val="none"/>
    </w:rPr>
  </w:style>
  <w:style w:type="character" w:customStyle="1" w:styleId="21">
    <w:name w:val="font01"/>
    <w:basedOn w:val="8"/>
    <w:qFormat/>
    <w:uiPriority w:val="0"/>
    <w:rPr>
      <w:rFonts w:hint="eastAsia" w:ascii="宋体" w:hAnsi="宋体" w:eastAsia="宋体" w:cs="宋体"/>
      <w:color w:val="000000"/>
      <w:sz w:val="22"/>
      <w:szCs w:val="22"/>
      <w:u w:val="none"/>
    </w:rPr>
  </w:style>
  <w:style w:type="character" w:customStyle="1" w:styleId="22">
    <w:name w:val="font11"/>
    <w:basedOn w:val="8"/>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Info spid="_x0000_s4098"/>
    <customShpInfo spid="_x0000_s1026" textRotate="1"/>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105</Pages>
  <Words>69815</Words>
  <Characters>73272</Characters>
  <TotalTime>11</TotalTime>
  <ScaleCrop>false</ScaleCrop>
  <LinksUpToDate>false</LinksUpToDate>
  <CharactersWithSpaces>75557</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2021-12-29T16:04:00Z</dcterms:created>
  <dc:creator>微软中国</dc:creator>
  <cp:lastModifiedBy>小黑</cp:lastModifiedBy>
  <dcterms:modified xsi:type="dcterms:W3CDTF">2024-09-27T09:28:36Z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2022-07-29T15:39:18Z</vt:filetime>
  </property>
  <property fmtid="{D5CDD505-2E9C-101B-9397-08002B2CF9AE}" pid="4" name="KSOProductBuildVer">
    <vt:lpwstr>2052-12.1.0.16929</vt:lpwstr>
  </property>
  <property fmtid="{D5CDD505-2E9C-101B-9397-08002B2CF9AE}" pid="5" name="ICV">
    <vt:lpwstr>72BB269AB56C4A36BE6B14C661C8E469</vt:lpwstr>
  </property>
</Properties>
</file>