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left"/>
        <w:rPr>
          <w:rFonts w:hint="eastAsia"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lang w:eastAsia="zh-CN"/>
        </w:rPr>
        <w:t>附件</w:t>
      </w:r>
    </w:p>
    <w:p>
      <w:pPr>
        <w:ind w:firstLine="0" w:firstLineChars="0"/>
        <w:jc w:val="center"/>
        <w:rPr>
          <w:rFonts w:eastAsia="方正小标宋_GBK"/>
          <w:sz w:val="44"/>
        </w:rPr>
      </w:pPr>
    </w:p>
    <w:p>
      <w:pPr>
        <w:ind w:firstLine="0" w:firstLineChars="0"/>
        <w:jc w:val="center"/>
        <w:rPr>
          <w:rFonts w:eastAsia="方正小标宋_GBK"/>
          <w:sz w:val="44"/>
        </w:rPr>
      </w:pPr>
    </w:p>
    <w:p>
      <w:pPr>
        <w:ind w:firstLine="0" w:firstLineChars="0"/>
        <w:jc w:val="center"/>
        <w:rPr>
          <w:rFonts w:eastAsia="方正小标宋_GBK"/>
          <w:sz w:val="44"/>
        </w:rPr>
      </w:pPr>
    </w:p>
    <w:p>
      <w:pPr>
        <w:ind w:firstLine="0" w:firstLineChars="0"/>
        <w:jc w:val="center"/>
        <w:rPr>
          <w:rFonts w:eastAsia="方正小标宋_GBK"/>
          <w:sz w:val="44"/>
        </w:rPr>
      </w:pPr>
    </w:p>
    <w:p>
      <w:pPr>
        <w:ind w:firstLine="0" w:firstLineChars="0"/>
        <w:jc w:val="center"/>
        <w:rPr>
          <w:rFonts w:eastAsia="方正小标宋_GBK"/>
          <w:sz w:val="44"/>
        </w:rPr>
      </w:pPr>
    </w:p>
    <w:p>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eastAsia="方正小标宋_GBK"/>
          <w:sz w:val="52"/>
          <w:szCs w:val="52"/>
        </w:rPr>
      </w:pPr>
      <w:bookmarkStart w:id="0" w:name="_Hlk71358906"/>
      <w:r>
        <w:rPr>
          <w:rFonts w:hint="eastAsia" w:eastAsia="方正小标宋_GBK"/>
          <w:sz w:val="52"/>
          <w:szCs w:val="52"/>
        </w:rPr>
        <w:t>重庆市建筑业</w:t>
      </w:r>
      <w:r>
        <w:rPr>
          <w:rFonts w:hint="eastAsia" w:ascii="宋体" w:hAnsi="宋体" w:eastAsia="宋体" w:cs="宋体"/>
          <w:sz w:val="52"/>
          <w:szCs w:val="52"/>
        </w:rPr>
        <w:t>“</w:t>
      </w:r>
      <w:r>
        <w:rPr>
          <w:rFonts w:hint="eastAsia" w:eastAsia="方正小标宋_GBK"/>
          <w:sz w:val="52"/>
          <w:szCs w:val="52"/>
        </w:rPr>
        <w:t>十四五</w:t>
      </w:r>
      <w:r>
        <w:rPr>
          <w:rFonts w:hint="eastAsia" w:ascii="宋体" w:hAnsi="宋体" w:eastAsia="宋体" w:cs="宋体"/>
          <w:sz w:val="52"/>
          <w:szCs w:val="52"/>
        </w:rPr>
        <w:t>”</w:t>
      </w:r>
      <w:r>
        <w:rPr>
          <w:rFonts w:hint="eastAsia" w:eastAsia="方正小标宋_GBK"/>
          <w:sz w:val="52"/>
          <w:szCs w:val="52"/>
        </w:rPr>
        <w:t>发展规划</w:t>
      </w:r>
    </w:p>
    <w:p>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eastAsia="方正小标宋_GBK"/>
          <w:sz w:val="52"/>
          <w:szCs w:val="52"/>
        </w:rPr>
      </w:pPr>
      <w:r>
        <w:rPr>
          <w:rFonts w:hint="eastAsia" w:eastAsia="方正小标宋_GBK"/>
          <w:sz w:val="52"/>
          <w:szCs w:val="52"/>
        </w:rPr>
        <w:t>（2021—2025年）</w:t>
      </w:r>
    </w:p>
    <w:bookmarkEnd w:id="0"/>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pStyle w:val="2"/>
      </w:pPr>
    </w:p>
    <w:p/>
    <w:p>
      <w:pPr>
        <w:pStyle w:val="2"/>
      </w:pPr>
    </w:p>
    <w:p/>
    <w:p>
      <w:pPr>
        <w:pStyle w:val="2"/>
      </w:pPr>
    </w:p>
    <w:p>
      <w:pPr>
        <w:tabs>
          <w:tab w:val="right" w:leader="dot" w:pos="8958"/>
        </w:tabs>
        <w:spacing w:before="312" w:beforeLines="100"/>
        <w:ind w:firstLine="0" w:firstLineChars="0"/>
        <w:jc w:val="center"/>
        <w:rPr>
          <w:rFonts w:eastAsia="方正黑体_GBK" w:cs="方正黑体_GBK"/>
          <w:sz w:val="36"/>
          <w:szCs w:val="36"/>
        </w:rPr>
      </w:pPr>
      <w:r>
        <w:rPr>
          <w:rFonts w:eastAsia="方正黑体_GBK" w:cs="方正黑体_GBK"/>
          <w:sz w:val="36"/>
          <w:szCs w:val="36"/>
        </w:rPr>
        <w:t>202</w:t>
      </w:r>
      <w:r>
        <w:rPr>
          <w:rFonts w:hint="eastAsia" w:eastAsia="方正黑体_GBK" w:cs="方正黑体_GBK"/>
          <w:sz w:val="36"/>
          <w:szCs w:val="36"/>
          <w:lang w:val="en-US" w:eastAsia="zh-CN"/>
        </w:rPr>
        <w:t>2</w:t>
      </w:r>
      <w:r>
        <w:rPr>
          <w:rFonts w:hint="eastAsia" w:hAnsi="方正黑体_GBK" w:eastAsia="方正黑体_GBK" w:cs="方正黑体_GBK"/>
          <w:sz w:val="36"/>
          <w:szCs w:val="36"/>
        </w:rPr>
        <w:t>年</w:t>
      </w:r>
      <w:r>
        <w:rPr>
          <w:rFonts w:hint="eastAsia" w:eastAsia="方正黑体_GBK" w:cs="方正黑体_GBK"/>
          <w:sz w:val="36"/>
          <w:szCs w:val="36"/>
          <w:lang w:val="en-US" w:eastAsia="zh-CN"/>
        </w:rPr>
        <w:t>1</w:t>
      </w:r>
      <w:r>
        <w:rPr>
          <w:rFonts w:hint="eastAsia" w:hAnsi="方正黑体_GBK" w:eastAsia="方正黑体_GBK" w:cs="方正黑体_GBK"/>
          <w:sz w:val="36"/>
          <w:szCs w:val="36"/>
        </w:rPr>
        <w:t>月</w:t>
      </w:r>
    </w:p>
    <w:p>
      <w:pPr>
        <w:ind w:firstLine="0" w:firstLineChars="0"/>
        <w:jc w:val="center"/>
        <w:rPr>
          <w:rFonts w:hint="eastAsia" w:ascii="方正黑体_GBK" w:hAnsi="方正黑体_GBK" w:eastAsia="方正黑体_GBK" w:cs="方正黑体_GBK"/>
        </w:rPr>
      </w:pPr>
    </w:p>
    <w:p>
      <w:pPr>
        <w:ind w:firstLine="0" w:firstLineChars="0"/>
        <w:jc w:val="center"/>
        <w:rPr>
          <w:rFonts w:ascii="方正黑体_GBK" w:hAnsi="方正黑体_GBK" w:eastAsia="方正黑体_GBK" w:cs="方正黑体_GBK"/>
        </w:rPr>
      </w:pPr>
      <w:r>
        <w:rPr>
          <w:rFonts w:hint="eastAsia" w:ascii="方正黑体_GBK" w:hAnsi="方正黑体_GBK" w:eastAsia="方正黑体_GBK" w:cs="方正黑体_GBK"/>
        </w:rPr>
        <w:t>前  言</w:t>
      </w:r>
    </w:p>
    <w:p>
      <w:pPr>
        <w:ind w:firstLine="0" w:firstLineChars="0"/>
        <w:jc w:val="center"/>
        <w:rPr>
          <w:rFonts w:ascii="方正黑体_GBK" w:hAnsi="方正黑体_GBK" w:eastAsia="方正黑体_GBK" w:cs="方正黑体_GBK"/>
        </w:rPr>
      </w:pPr>
    </w:p>
    <w:p>
      <w:pPr>
        <w:ind w:firstLine="640"/>
      </w:pPr>
      <w:r>
        <w:t>建筑业</w:t>
      </w:r>
      <w:r>
        <w:rPr>
          <w:rFonts w:hint="eastAsia"/>
        </w:rPr>
        <w:t>是国民经济的支柱产业，为经济社会发展和民生改善作出了重要贡献。“十三五”期间，面对国民经济由高速增长向高质量转型发展期，重庆市建筑业围绕行业转型升级、高质量发展目标，推动建造方式变革和技术进步，深化“放管服”改革，行业规模持续扩大</w:t>
      </w:r>
      <w:r>
        <w:rPr>
          <w:rFonts w:hint="eastAsia"/>
          <w:lang w:eastAsia="zh-CN"/>
        </w:rPr>
        <w:t>，</w:t>
      </w:r>
      <w:r>
        <w:rPr>
          <w:rFonts w:hint="eastAsia"/>
        </w:rPr>
        <w:t>工程建造水平稳步提高</w:t>
      </w:r>
      <w:r>
        <w:rPr>
          <w:rFonts w:hint="eastAsia"/>
          <w:lang w:eastAsia="zh-CN"/>
        </w:rPr>
        <w:t>，</w:t>
      </w:r>
      <w:r>
        <w:rPr>
          <w:rFonts w:hint="eastAsia"/>
        </w:rPr>
        <w:t>质量安全形势持续向好</w:t>
      </w:r>
      <w:r>
        <w:rPr>
          <w:rFonts w:hint="eastAsia"/>
          <w:lang w:eastAsia="zh-CN"/>
        </w:rPr>
        <w:t>，</w:t>
      </w:r>
      <w:r>
        <w:rPr>
          <w:rFonts w:hint="eastAsia"/>
        </w:rPr>
        <w:t>营商环境不断优化。</w:t>
      </w:r>
    </w:p>
    <w:p>
      <w:pPr>
        <w:ind w:firstLine="640"/>
      </w:pPr>
      <w:r>
        <w:rPr>
          <w:rFonts w:hint="eastAsia" w:ascii="方正仿宋_GBK"/>
        </w:rPr>
        <w:t>“十四五”</w:t>
      </w:r>
      <w:r>
        <w:t>时期是我国全面建成小康社会、实现第一个百年奋斗目标之后，乘势而上开启全面建设社会主义现代化国家新征程、向第二个百年奋斗目标进军的第一个五年，科学编制和有效实施重庆市建筑业</w:t>
      </w:r>
      <w:r>
        <w:rPr>
          <w:rFonts w:hint="eastAsia" w:ascii="方正仿宋_GBK"/>
        </w:rPr>
        <w:t>“十四五”</w:t>
      </w:r>
      <w:r>
        <w:t>发展规划，全面回顾过去五年建筑业发展历程，</w:t>
      </w:r>
      <w:r>
        <w:rPr>
          <w:rFonts w:hint="eastAsia"/>
        </w:rPr>
        <w:t>明晰</w:t>
      </w:r>
      <w:r>
        <w:t>未来五年建筑业发展目标，</w:t>
      </w:r>
      <w:r>
        <w:rPr>
          <w:rFonts w:hint="eastAsia"/>
        </w:rPr>
        <w:t>明确</w:t>
      </w:r>
      <w:r>
        <w:t>主要任务和保障措施，</w:t>
      </w:r>
      <w:r>
        <w:rPr>
          <w:rFonts w:hint="eastAsia"/>
        </w:rPr>
        <w:t>对</w:t>
      </w:r>
      <w:r>
        <w:t>推进行业结构调整和发展方式转变，实现建筑业高质量发展，具有重要的指导意义。</w:t>
      </w:r>
    </w:p>
    <w:p>
      <w:pPr>
        <w:ind w:firstLine="640"/>
      </w:pPr>
      <w:r>
        <w:t>依据《重庆市国民经济和社会发展第十四个五年规划和</w:t>
      </w:r>
      <w:r>
        <w:rPr>
          <w:rFonts w:hint="eastAsia"/>
        </w:rPr>
        <w:t>二〇三五</w:t>
      </w:r>
      <w:r>
        <w:t>年远景目标纲要》《成渝地区双城经济圈建设规划纲要》以及</w:t>
      </w:r>
      <w:r>
        <w:rPr>
          <w:rFonts w:hint="eastAsia"/>
          <w:lang w:eastAsia="zh-CN"/>
        </w:rPr>
        <w:t>住房和城乡建设部</w:t>
      </w:r>
      <w:r>
        <w:t>关于建筑业改革发展的部署要求，结合本市实际情况，制定</w:t>
      </w:r>
      <w:r>
        <w:rPr>
          <w:rFonts w:hint="eastAsia"/>
        </w:rPr>
        <w:t>本</w:t>
      </w:r>
      <w:r>
        <w:t>规划。</w:t>
      </w:r>
    </w:p>
    <w:p>
      <w:pPr>
        <w:ind w:firstLine="640"/>
      </w:pPr>
      <w:r>
        <w:t>本规划是指导性</w:t>
      </w:r>
      <w:r>
        <w:rPr>
          <w:rFonts w:hint="eastAsia"/>
        </w:rPr>
        <w:t>规划，规划期为2021年至2025年</w:t>
      </w:r>
      <w:r>
        <w:t>。</w:t>
      </w:r>
    </w:p>
    <w:p>
      <w:pPr>
        <w:widowControl/>
        <w:spacing w:line="240" w:lineRule="auto"/>
        <w:ind w:firstLine="0" w:firstLineChars="0"/>
        <w:jc w:val="left"/>
      </w:pPr>
      <w:r>
        <w:br w:type="page"/>
      </w:r>
    </w:p>
    <w:p>
      <w:pPr>
        <w:ind w:firstLine="0" w:firstLineChars="0"/>
        <w:jc w:val="center"/>
        <w:rPr>
          <w:rFonts w:ascii="方正黑体_GBK" w:hAnsi="方正黑体_GBK" w:eastAsia="方正黑体_GBK" w:cs="方正黑体_GBK"/>
        </w:rPr>
      </w:pPr>
    </w:p>
    <w:p>
      <w:pPr>
        <w:ind w:firstLine="0" w:firstLineChars="0"/>
        <w:jc w:val="center"/>
        <w:rPr>
          <w:rFonts w:ascii="方正黑体_GBK" w:hAnsi="方正黑体_GBK" w:eastAsia="方正黑体_GBK" w:cs="方正黑体_GBK"/>
        </w:rPr>
      </w:pPr>
      <w:r>
        <w:rPr>
          <w:rFonts w:hint="eastAsia" w:ascii="方正黑体_GBK" w:hAnsi="方正黑体_GBK" w:eastAsia="方正黑体_GBK" w:cs="方正黑体_GBK"/>
        </w:rPr>
        <w:t>目  录</w:t>
      </w:r>
    </w:p>
    <w:p>
      <w:pPr>
        <w:ind w:firstLine="640"/>
        <w:jc w:val="center"/>
        <w:rPr>
          <w:rFonts w:ascii="方正黑体_GBK" w:hAnsi="方正黑体_GBK" w:eastAsia="方正黑体_GBK" w:cs="方正黑体_GBK"/>
        </w:rPr>
      </w:pPr>
    </w:p>
    <w:p>
      <w:pPr>
        <w:pStyle w:val="11"/>
        <w:tabs>
          <w:tab w:val="right" w:leader="dot" w:pos="9062"/>
        </w:tabs>
        <w:spacing w:line="480" w:lineRule="exact"/>
        <w:rPr>
          <w:rFonts w:asciiTheme="minorHAnsi" w:hAnsiTheme="minorHAnsi" w:eastAsiaTheme="minorEastAsia" w:cstheme="minorBidi"/>
          <w:sz w:val="21"/>
        </w:rPr>
      </w:pPr>
      <w:r>
        <w:rPr>
          <w:color w:val="000000" w:themeColor="text1"/>
          <w:szCs w:val="32"/>
          <w14:textFill>
            <w14:solidFill>
              <w14:schemeClr w14:val="tx1"/>
            </w14:solidFill>
          </w14:textFill>
        </w:rPr>
        <w:fldChar w:fldCharType="begin"/>
      </w:r>
      <w:r>
        <w:rPr>
          <w:color w:val="000000" w:themeColor="text1"/>
          <w:szCs w:val="32"/>
          <w14:textFill>
            <w14:solidFill>
              <w14:schemeClr w14:val="tx1"/>
            </w14:solidFill>
          </w14:textFill>
        </w:rPr>
        <w:instrText xml:space="preserve"> TOC \o "1-3" \h \z \u </w:instrText>
      </w:r>
      <w:r>
        <w:rPr>
          <w:color w:val="000000" w:themeColor="text1"/>
          <w:szCs w:val="32"/>
          <w14:textFill>
            <w14:solidFill>
              <w14:schemeClr w14:val="tx1"/>
            </w14:solidFill>
          </w14:textFill>
        </w:rPr>
        <w:fldChar w:fldCharType="separate"/>
      </w:r>
      <w:r>
        <w:fldChar w:fldCharType="begin"/>
      </w:r>
      <w:r>
        <w:instrText xml:space="preserve"> HYPERLINK \l "_Toc91149459" </w:instrText>
      </w:r>
      <w:r>
        <w:fldChar w:fldCharType="separate"/>
      </w:r>
      <w:r>
        <w:rPr>
          <w:rStyle w:val="22"/>
        </w:rPr>
        <w:t>一、“十三五”发展回顾</w:t>
      </w:r>
      <w:r>
        <w:tab/>
      </w:r>
      <w:r>
        <w:fldChar w:fldCharType="begin"/>
      </w:r>
      <w:r>
        <w:instrText xml:space="preserve"> PAGEREF _Toc91149459 \h </w:instrText>
      </w:r>
      <w:r>
        <w:fldChar w:fldCharType="separate"/>
      </w:r>
      <w:r>
        <w:t>1</w:t>
      </w:r>
      <w:r>
        <w:fldChar w:fldCharType="end"/>
      </w:r>
      <w:r>
        <w:fldChar w:fldCharType="end"/>
      </w:r>
    </w:p>
    <w:p>
      <w:pPr>
        <w:pStyle w:val="12"/>
        <w:tabs>
          <w:tab w:val="right" w:leader="dot" w:pos="9062"/>
        </w:tabs>
        <w:spacing w:line="480" w:lineRule="exact"/>
        <w:ind w:firstLine="640"/>
        <w:rPr>
          <w:rFonts w:asciiTheme="minorHAnsi" w:hAnsiTheme="minorHAnsi" w:eastAsiaTheme="minorEastAsia" w:cstheme="minorBidi"/>
          <w:sz w:val="21"/>
        </w:rPr>
      </w:pPr>
      <w:r>
        <w:fldChar w:fldCharType="begin"/>
      </w:r>
      <w:r>
        <w:instrText xml:space="preserve"> HYPERLINK \l "_Toc91149460" </w:instrText>
      </w:r>
      <w:r>
        <w:fldChar w:fldCharType="separate"/>
      </w:r>
      <w:r>
        <w:rPr>
          <w:rStyle w:val="22"/>
        </w:rPr>
        <w:t>（一）主要成就</w:t>
      </w:r>
      <w:r>
        <w:tab/>
      </w:r>
      <w:r>
        <w:fldChar w:fldCharType="begin"/>
      </w:r>
      <w:r>
        <w:instrText xml:space="preserve"> PAGEREF _Toc91149460 \h </w:instrText>
      </w:r>
      <w:r>
        <w:fldChar w:fldCharType="separate"/>
      </w:r>
      <w:r>
        <w:t>1</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"_Toc91149461" </w:instrText>
      </w:r>
      <w:r>
        <w:fldChar w:fldCharType="separate"/>
      </w:r>
      <w:r>
        <w:rPr>
          <w:rStyle w:val="22"/>
        </w:rPr>
        <w:t>1．建筑企业规模不断壮大</w:t>
      </w:r>
      <w:r>
        <w:tab/>
      </w:r>
      <w:r>
        <w:fldChar w:fldCharType="begin"/>
      </w:r>
      <w:r>
        <w:instrText xml:space="preserve"> PAGEREF _Toc91149461 \h </w:instrText>
      </w:r>
      <w:r>
        <w:fldChar w:fldCharType="separate"/>
      </w:r>
      <w:r>
        <w:t>1</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"_Toc91149462" </w:instrText>
      </w:r>
      <w:r>
        <w:fldChar w:fldCharType="separate"/>
      </w:r>
      <w:r>
        <w:rPr>
          <w:rStyle w:val="22"/>
        </w:rPr>
        <w:t>2．从业人员素质不断提升</w:t>
      </w:r>
      <w:r>
        <w:tab/>
      </w:r>
      <w:r>
        <w:fldChar w:fldCharType="begin"/>
      </w:r>
      <w:r>
        <w:instrText xml:space="preserve"> PAGEREF _Toc91149462 \h </w:instrText>
      </w:r>
      <w:r>
        <w:fldChar w:fldCharType="separate"/>
      </w:r>
      <w:r>
        <w:t>3</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"_Toc91149463" </w:instrText>
      </w:r>
      <w:r>
        <w:fldChar w:fldCharType="separate"/>
      </w:r>
      <w:r>
        <w:rPr>
          <w:rStyle w:val="22"/>
        </w:rPr>
        <w:t>3．工程建造水平不断提高</w:t>
      </w:r>
      <w:r>
        <w:tab/>
      </w:r>
      <w:r>
        <w:fldChar w:fldCharType="begin"/>
      </w:r>
      <w:r>
        <w:instrText xml:space="preserve"> PAGEREF _Toc91149463 \h </w:instrText>
      </w:r>
      <w:r>
        <w:fldChar w:fldCharType="separate"/>
      </w:r>
      <w:r>
        <w:t>4</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"_Toc91149464" </w:instrText>
      </w:r>
      <w:r>
        <w:fldChar w:fldCharType="separate"/>
      </w:r>
      <w:r>
        <w:rPr>
          <w:rStyle w:val="22"/>
        </w:rPr>
        <w:t>4．</w:t>
      </w:r>
      <w:r>
        <w:rPr>
          <w:rStyle w:val="22"/>
          <w:rFonts w:ascii="方正仿宋_GBK" w:cs="方正仿宋_GBK"/>
        </w:rPr>
        <w:t>质量安全形势总体稳定受控</w:t>
      </w:r>
      <w:r>
        <w:tab/>
      </w:r>
      <w:r>
        <w:fldChar w:fldCharType="begin"/>
      </w:r>
      <w:r>
        <w:instrText xml:space="preserve"> PAGEREF _Toc91149464 \h </w:instrText>
      </w:r>
      <w:r>
        <w:fldChar w:fldCharType="separate"/>
      </w:r>
      <w:r>
        <w:t>5</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"_Toc91149465" </w:instrText>
      </w:r>
      <w:r>
        <w:fldChar w:fldCharType="separate"/>
      </w:r>
      <w:r>
        <w:rPr>
          <w:rStyle w:val="22"/>
        </w:rPr>
        <w:t>5．大数据智能化融合不断深入</w:t>
      </w:r>
      <w:r>
        <w:tab/>
      </w:r>
      <w:r>
        <w:fldChar w:fldCharType="begin"/>
      </w:r>
      <w:r>
        <w:instrText xml:space="preserve"> PAGEREF _Toc91149465 \h </w:instrText>
      </w:r>
      <w:r>
        <w:fldChar w:fldCharType="separate"/>
      </w:r>
      <w:r>
        <w:t>5</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"_Toc91149466" </w:instrText>
      </w:r>
      <w:r>
        <w:fldChar w:fldCharType="separate"/>
      </w:r>
      <w:r>
        <w:rPr>
          <w:rStyle w:val="22"/>
        </w:rPr>
        <w:t>6．建筑产业现代化稳步推进</w:t>
      </w:r>
      <w:r>
        <w:tab/>
      </w:r>
      <w:r>
        <w:fldChar w:fldCharType="begin"/>
      </w:r>
      <w:r>
        <w:instrText xml:space="preserve"> PAGEREF _Toc91149466 \h </w:instrText>
      </w:r>
      <w:r>
        <w:fldChar w:fldCharType="separate"/>
      </w:r>
      <w:r>
        <w:t>6</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"_Toc91149467" </w:instrText>
      </w:r>
      <w:r>
        <w:fldChar w:fldCharType="separate"/>
      </w:r>
      <w:r>
        <w:rPr>
          <w:rStyle w:val="22"/>
        </w:rPr>
        <w:t>7．“放管服”改革不断深化</w:t>
      </w:r>
      <w:r>
        <w:tab/>
      </w:r>
      <w:r>
        <w:fldChar w:fldCharType="begin"/>
      </w:r>
      <w:r>
        <w:instrText xml:space="preserve"> PAGEREF _Toc91149467 \h </w:instrText>
      </w:r>
      <w:r>
        <w:fldChar w:fldCharType="separate"/>
      </w:r>
      <w:r>
        <w:t>6</w:t>
      </w:r>
      <w:r>
        <w:fldChar w:fldCharType="end"/>
      </w:r>
      <w:r>
        <w:fldChar w:fldCharType="end"/>
      </w:r>
    </w:p>
    <w:p>
      <w:pPr>
        <w:pStyle w:val="12"/>
        <w:tabs>
          <w:tab w:val="right" w:leader="dot" w:pos="9062"/>
        </w:tabs>
        <w:spacing w:line="480" w:lineRule="exact"/>
        <w:ind w:firstLine="640"/>
        <w:rPr>
          <w:rFonts w:asciiTheme="minorHAnsi" w:hAnsiTheme="minorHAnsi" w:eastAsiaTheme="minorEastAsia" w:cstheme="minorBidi"/>
          <w:sz w:val="21"/>
        </w:rPr>
      </w:pPr>
      <w:r>
        <w:fldChar w:fldCharType="begin"/>
      </w:r>
      <w:r>
        <w:instrText xml:space="preserve"> HYPERLINK \l "_Toc91149468" </w:instrText>
      </w:r>
      <w:r>
        <w:fldChar w:fldCharType="separate"/>
      </w:r>
      <w:r>
        <w:rPr>
          <w:rStyle w:val="22"/>
        </w:rPr>
        <w:t>（二）存在问题</w:t>
      </w:r>
      <w:r>
        <w:tab/>
      </w:r>
      <w:r>
        <w:fldChar w:fldCharType="begin"/>
      </w:r>
      <w:r>
        <w:instrText xml:space="preserve"> PAGEREF _Toc91149468 \h </w:instrText>
      </w:r>
      <w:r>
        <w:fldChar w:fldCharType="separate"/>
      </w:r>
      <w:r>
        <w:t>7</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"_Toc91149469" </w:instrText>
      </w:r>
      <w:r>
        <w:fldChar w:fldCharType="separate"/>
      </w:r>
      <w:r>
        <w:rPr>
          <w:rStyle w:val="22"/>
        </w:rPr>
        <w:t>1．行业建造方式粗放</w:t>
      </w:r>
      <w:r>
        <w:tab/>
      </w:r>
      <w:r>
        <w:fldChar w:fldCharType="begin"/>
      </w:r>
      <w:r>
        <w:instrText xml:space="preserve"> PAGEREF _Toc91149469 \h </w:instrText>
      </w:r>
      <w:r>
        <w:fldChar w:fldCharType="separate"/>
      </w:r>
      <w:r>
        <w:t>7</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"_Toc91149470" </w:instrText>
      </w:r>
      <w:r>
        <w:fldChar w:fldCharType="separate"/>
      </w:r>
      <w:r>
        <w:rPr>
          <w:rStyle w:val="22"/>
        </w:rPr>
        <w:t>2．企业核心竞争力不强</w:t>
      </w:r>
      <w:r>
        <w:tab/>
      </w:r>
      <w:r>
        <w:fldChar w:fldCharType="begin"/>
      </w:r>
      <w:r>
        <w:instrText xml:space="preserve"> PAGEREF _Toc91149470 \h </w:instrText>
      </w:r>
      <w:r>
        <w:fldChar w:fldCharType="separate"/>
      </w:r>
      <w:r>
        <w:t>7</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"_Toc91149471" </w:instrText>
      </w:r>
      <w:r>
        <w:fldChar w:fldCharType="separate"/>
      </w:r>
      <w:r>
        <w:rPr>
          <w:rStyle w:val="22"/>
        </w:rPr>
        <w:t>3．从业人员素养仍需提高</w:t>
      </w:r>
      <w:r>
        <w:tab/>
      </w:r>
      <w:r>
        <w:fldChar w:fldCharType="begin"/>
      </w:r>
      <w:r>
        <w:instrText xml:space="preserve"> PAGEREF _Toc91149471 \h </w:instrText>
      </w:r>
      <w:r>
        <w:fldChar w:fldCharType="separate"/>
      </w:r>
      <w:r>
        <w:t>8</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"_Toc91149472" </w:instrText>
      </w:r>
      <w:r>
        <w:fldChar w:fldCharType="separate"/>
      </w:r>
      <w:r>
        <w:rPr>
          <w:rStyle w:val="22"/>
        </w:rPr>
        <w:t>4．质量安全主体责任需进一步压实</w:t>
      </w:r>
      <w:r>
        <w:tab/>
      </w:r>
      <w:r>
        <w:fldChar w:fldCharType="begin"/>
      </w:r>
      <w:r>
        <w:instrText xml:space="preserve"> PAGEREF _Toc91149472 \h </w:instrText>
      </w:r>
      <w:r>
        <w:fldChar w:fldCharType="separate"/>
      </w:r>
      <w:r>
        <w:t>8</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"_Toc91149473" </w:instrText>
      </w:r>
      <w:r>
        <w:fldChar w:fldCharType="separate"/>
      </w:r>
      <w:r>
        <w:rPr>
          <w:rStyle w:val="22"/>
        </w:rPr>
        <w:t>5．行业治理现代化水平仍待提高</w:t>
      </w:r>
      <w:r>
        <w:tab/>
      </w:r>
      <w:r>
        <w:fldChar w:fldCharType="begin"/>
      </w:r>
      <w:r>
        <w:instrText xml:space="preserve"> PAGEREF _Toc91149473 \h </w:instrText>
      </w:r>
      <w:r>
        <w:fldChar w:fldCharType="separate"/>
      </w:r>
      <w:r>
        <w:t>8</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"_Toc91149474" </w:instrText>
      </w:r>
      <w:r>
        <w:fldChar w:fldCharType="separate"/>
      </w:r>
      <w:r>
        <w:rPr>
          <w:rStyle w:val="22"/>
        </w:rPr>
        <w:t>6．高质量发展仍需加力提速</w:t>
      </w:r>
      <w:r>
        <w:tab/>
      </w:r>
      <w:r>
        <w:fldChar w:fldCharType="begin"/>
      </w:r>
      <w:r>
        <w:instrText xml:space="preserve"> PAGEREF _Toc91149474 \h </w:instrText>
      </w:r>
      <w:r>
        <w:fldChar w:fldCharType="separate"/>
      </w:r>
      <w:r>
        <w:t>8</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"_Toc91149475" </w:instrText>
      </w:r>
      <w:r>
        <w:fldChar w:fldCharType="separate"/>
      </w:r>
      <w:r>
        <w:rPr>
          <w:rStyle w:val="22"/>
        </w:rPr>
        <w:t>7．“放管服”改革仍需纵深推进</w:t>
      </w:r>
      <w:r>
        <w:tab/>
      </w:r>
      <w:r>
        <w:fldChar w:fldCharType="begin"/>
      </w:r>
      <w:r>
        <w:instrText xml:space="preserve"> PAGEREF _Toc91149475 \h </w:instrText>
      </w:r>
      <w:r>
        <w:fldChar w:fldCharType="separate"/>
      </w:r>
      <w:r>
        <w:t>9</w:t>
      </w:r>
      <w:r>
        <w:fldChar w:fldCharType="end"/>
      </w:r>
      <w:r>
        <w:fldChar w:fldCharType="end"/>
      </w:r>
    </w:p>
    <w:p>
      <w:pPr>
        <w:pStyle w:val="11"/>
        <w:tabs>
          <w:tab w:val="right" w:leader="dot" w:pos="9062"/>
        </w:tabs>
        <w:spacing w:line="480" w:lineRule="exact"/>
        <w:rPr>
          <w:rFonts w:asciiTheme="minorHAnsi" w:hAnsiTheme="minorHAnsi" w:eastAsiaTheme="minorEastAsia" w:cstheme="minorBidi"/>
          <w:sz w:val="21"/>
        </w:rPr>
      </w:pPr>
      <w:r>
        <w:fldChar w:fldCharType="begin"/>
      </w:r>
      <w:r>
        <w:instrText xml:space="preserve"> HYPERLINK \l "_Toc91149476" </w:instrText>
      </w:r>
      <w:r>
        <w:fldChar w:fldCharType="separate"/>
      </w:r>
      <w:r>
        <w:rPr>
          <w:rStyle w:val="22"/>
        </w:rPr>
        <w:t>二、“十四五”发展面临的机遇挑战</w:t>
      </w:r>
      <w:r>
        <w:tab/>
      </w:r>
      <w:r>
        <w:fldChar w:fldCharType="begin"/>
      </w:r>
      <w:r>
        <w:instrText xml:space="preserve"> PAGEREF _Toc91149476 \h </w:instrText>
      </w:r>
      <w:r>
        <w:fldChar w:fldCharType="separate"/>
      </w:r>
      <w:r>
        <w:t>9</w:t>
      </w:r>
      <w:r>
        <w:fldChar w:fldCharType="end"/>
      </w:r>
      <w:r>
        <w:fldChar w:fldCharType="end"/>
      </w:r>
    </w:p>
    <w:p>
      <w:pPr>
        <w:pStyle w:val="12"/>
        <w:tabs>
          <w:tab w:val="right" w:leader="dot" w:pos="9062"/>
        </w:tabs>
        <w:spacing w:line="480" w:lineRule="exact"/>
        <w:ind w:firstLine="640"/>
        <w:rPr>
          <w:rFonts w:asciiTheme="minorHAnsi" w:hAnsiTheme="minorHAnsi" w:eastAsiaTheme="minorEastAsia" w:cstheme="minorBidi"/>
          <w:sz w:val="21"/>
        </w:rPr>
      </w:pPr>
      <w:r>
        <w:fldChar w:fldCharType="begin"/>
      </w:r>
      <w:r>
        <w:instrText xml:space="preserve"> HYPERLINK \l "_Toc91149477" </w:instrText>
      </w:r>
      <w:r>
        <w:fldChar w:fldCharType="separate"/>
      </w:r>
      <w:r>
        <w:rPr>
          <w:rStyle w:val="22"/>
        </w:rPr>
        <w:t>（一）面临机遇</w:t>
      </w:r>
      <w:r>
        <w:tab/>
      </w:r>
      <w:r>
        <w:fldChar w:fldCharType="begin"/>
      </w:r>
      <w:r>
        <w:instrText xml:space="preserve"> PAGEREF _Toc91149477 \h </w:instrText>
      </w:r>
      <w:r>
        <w:fldChar w:fldCharType="separate"/>
      </w:r>
      <w:r>
        <w:t>9</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"_Toc91149478" </w:instrText>
      </w:r>
      <w:r>
        <w:fldChar w:fldCharType="separate"/>
      </w:r>
      <w:r>
        <w:rPr>
          <w:rStyle w:val="22"/>
        </w:rPr>
        <w:t>1．高质量助力行业发展新动力</w:t>
      </w:r>
      <w:r>
        <w:tab/>
      </w:r>
      <w:r>
        <w:fldChar w:fldCharType="begin"/>
      </w:r>
      <w:r>
        <w:instrText xml:space="preserve"> PAGEREF _Toc91149478 \h </w:instrText>
      </w:r>
      <w:r>
        <w:fldChar w:fldCharType="separate"/>
      </w:r>
      <w:r>
        <w:t>9</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"_Toc91149479" </w:instrText>
      </w:r>
      <w:r>
        <w:fldChar w:fldCharType="separate"/>
      </w:r>
      <w:r>
        <w:rPr>
          <w:rStyle w:val="22"/>
        </w:rPr>
        <w:t>2．西部大开发形成新格局</w:t>
      </w:r>
      <w:r>
        <w:tab/>
      </w:r>
      <w:r>
        <w:fldChar w:fldCharType="begin"/>
      </w:r>
      <w:r>
        <w:instrText xml:space="preserve"> PAGEREF _Toc91149479 \h </w:instrText>
      </w:r>
      <w:r>
        <w:fldChar w:fldCharType="separate"/>
      </w:r>
      <w:r>
        <w:t>9</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"_Toc91149480" </w:instrText>
      </w:r>
      <w:r>
        <w:fldChar w:fldCharType="separate"/>
      </w:r>
      <w:r>
        <w:rPr>
          <w:rStyle w:val="22"/>
        </w:rPr>
        <w:t>3．成渝双城经济圈建设大力推进</w:t>
      </w:r>
      <w:r>
        <w:tab/>
      </w:r>
      <w:r>
        <w:fldChar w:fldCharType="begin"/>
      </w:r>
      <w:r>
        <w:instrText xml:space="preserve"> PAGEREF _Toc91149480 \h </w:instrText>
      </w:r>
      <w:r>
        <w:fldChar w:fldCharType="separate"/>
      </w:r>
      <w:r>
        <w:t>10</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"_Toc91149481" </w:instrText>
      </w:r>
      <w:r>
        <w:fldChar w:fldCharType="separate"/>
      </w:r>
      <w:r>
        <w:rPr>
          <w:rStyle w:val="22"/>
        </w:rPr>
        <w:t>4．</w:t>
      </w:r>
      <w:r>
        <w:rPr>
          <w:rStyle w:val="22"/>
          <w:rFonts w:hint="eastAsia"/>
          <w:lang w:eastAsia="zh-CN"/>
        </w:rPr>
        <w:t>西部（重庆）</w:t>
      </w:r>
      <w:r>
        <w:rPr>
          <w:rStyle w:val="22"/>
        </w:rPr>
        <w:t>科学城建设带来新发展</w:t>
      </w:r>
      <w:r>
        <w:tab/>
      </w:r>
      <w:r>
        <w:fldChar w:fldCharType="begin"/>
      </w:r>
      <w:r>
        <w:instrText xml:space="preserve"> PAGEREF _Toc91149481 \h </w:instrText>
      </w:r>
      <w:r>
        <w:fldChar w:fldCharType="separate"/>
      </w:r>
      <w:r>
        <w:t>10</w:t>
      </w:r>
      <w:r>
        <w:fldChar w:fldCharType="end"/>
      </w:r>
      <w:r>
        <w:fldChar w:fldCharType="end"/>
      </w:r>
    </w:p>
    <w:p>
      <w:pPr>
        <w:pStyle w:val="12"/>
        <w:tabs>
          <w:tab w:val="right" w:leader="dot" w:pos="9062"/>
        </w:tabs>
        <w:spacing w:line="480" w:lineRule="exact"/>
        <w:ind w:firstLine="640"/>
        <w:rPr>
          <w:rFonts w:asciiTheme="minorHAnsi" w:hAnsiTheme="minorHAnsi" w:eastAsiaTheme="minorEastAsia" w:cstheme="minorBidi"/>
          <w:sz w:val="21"/>
        </w:rPr>
      </w:pPr>
      <w:r>
        <w:fldChar w:fldCharType="begin"/>
      </w:r>
      <w:r>
        <w:instrText xml:space="preserve"> HYPERLINK \l "_Toc91149482" </w:instrText>
      </w:r>
      <w:r>
        <w:fldChar w:fldCharType="separate"/>
      </w:r>
      <w:r>
        <w:rPr>
          <w:rStyle w:val="22"/>
        </w:rPr>
        <w:t>（二）面临挑战</w:t>
      </w:r>
      <w:r>
        <w:tab/>
      </w:r>
      <w:r>
        <w:fldChar w:fldCharType="begin"/>
      </w:r>
      <w:r>
        <w:instrText xml:space="preserve"> PAGEREF _Toc91149482 \h </w:instrText>
      </w:r>
      <w:r>
        <w:fldChar w:fldCharType="separate"/>
      </w:r>
      <w:r>
        <w:t>10</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"_Toc91149483" </w:instrText>
      </w:r>
      <w:r>
        <w:fldChar w:fldCharType="separate"/>
      </w:r>
      <w:r>
        <w:rPr>
          <w:rStyle w:val="22"/>
        </w:rPr>
        <w:t>1．</w:t>
      </w:r>
      <w:r>
        <w:rPr>
          <w:rStyle w:val="22"/>
          <w:rFonts w:hint="eastAsia"/>
        </w:rPr>
        <w:t>建筑业发展形势不容乐观</w:t>
      </w:r>
      <w:r>
        <w:tab/>
      </w:r>
      <w:r>
        <w:fldChar w:fldCharType="begin"/>
      </w:r>
      <w:r>
        <w:instrText xml:space="preserve"> PAGEREF _Toc91149483 \h </w:instrText>
      </w:r>
      <w:r>
        <w:fldChar w:fldCharType="separate"/>
      </w:r>
      <w:r>
        <w:t>10</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"_Toc91149484" </w:instrText>
      </w:r>
      <w:r>
        <w:fldChar w:fldCharType="separate"/>
      </w:r>
      <w:r>
        <w:rPr>
          <w:rStyle w:val="22"/>
        </w:rPr>
        <w:t>2．行业要素成本持续增加</w:t>
      </w:r>
      <w:r>
        <w:tab/>
      </w:r>
      <w:r>
        <w:fldChar w:fldCharType="begin"/>
      </w:r>
      <w:r>
        <w:instrText xml:space="preserve"> PAGEREF _Toc91149484 \h </w:instrText>
      </w:r>
      <w:r>
        <w:fldChar w:fldCharType="separate"/>
      </w:r>
      <w:r>
        <w:t>11</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"_Toc91149485" </w:instrText>
      </w:r>
      <w:r>
        <w:fldChar w:fldCharType="separate"/>
      </w:r>
      <w:r>
        <w:rPr>
          <w:rStyle w:val="22"/>
        </w:rPr>
        <w:t>3．行业市场竞争不断加剧</w:t>
      </w:r>
      <w:r>
        <w:tab/>
      </w:r>
      <w:r>
        <w:fldChar w:fldCharType="begin"/>
      </w:r>
      <w:r>
        <w:instrText xml:space="preserve"> PAGEREF _Toc91149485 \h </w:instrText>
      </w:r>
      <w:r>
        <w:fldChar w:fldCharType="separate"/>
      </w:r>
      <w:r>
        <w:t>11</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"_Toc91149486" </w:instrText>
      </w:r>
      <w:r>
        <w:fldChar w:fldCharType="separate"/>
      </w:r>
      <w:r>
        <w:rPr>
          <w:rStyle w:val="22"/>
        </w:rPr>
        <w:t>4. “双碳”目标提出行业发展新要求</w:t>
      </w:r>
      <w:r>
        <w:tab/>
      </w:r>
      <w:r>
        <w:fldChar w:fldCharType="begin"/>
      </w:r>
      <w:r>
        <w:instrText xml:space="preserve"> PAGEREF _Toc91149486 \h </w:instrText>
      </w:r>
      <w:r>
        <w:fldChar w:fldCharType="separate"/>
      </w:r>
      <w:r>
        <w:t>11</w:t>
      </w:r>
      <w:r>
        <w:fldChar w:fldCharType="end"/>
      </w:r>
      <w:r>
        <w:fldChar w:fldCharType="end"/>
      </w:r>
    </w:p>
    <w:p>
      <w:pPr>
        <w:pStyle w:val="11"/>
        <w:tabs>
          <w:tab w:val="right" w:leader="dot" w:pos="9062"/>
        </w:tabs>
        <w:spacing w:line="480" w:lineRule="exact"/>
        <w:rPr>
          <w:rFonts w:asciiTheme="minorHAnsi" w:hAnsiTheme="minorHAnsi" w:eastAsiaTheme="minorEastAsia" w:cstheme="minorBidi"/>
          <w:sz w:val="21"/>
        </w:rPr>
      </w:pPr>
      <w:r>
        <w:fldChar w:fldCharType="begin"/>
      </w:r>
      <w:r>
        <w:instrText xml:space="preserve"> HYPERLINK \l "_Toc91149487" </w:instrText>
      </w:r>
      <w:r>
        <w:fldChar w:fldCharType="separate"/>
      </w:r>
      <w:r>
        <w:rPr>
          <w:rStyle w:val="22"/>
        </w:rPr>
        <w:t>三、“十四五”发展指导思想和发展目标</w:t>
      </w:r>
      <w:r>
        <w:tab/>
      </w:r>
      <w:r>
        <w:fldChar w:fldCharType="begin"/>
      </w:r>
      <w:r>
        <w:instrText xml:space="preserve"> PAGEREF _Toc91149487 \h </w:instrText>
      </w:r>
      <w:r>
        <w:fldChar w:fldCharType="separate"/>
      </w:r>
      <w:r>
        <w:t>11</w:t>
      </w:r>
      <w:r>
        <w:fldChar w:fldCharType="end"/>
      </w:r>
      <w:r>
        <w:fldChar w:fldCharType="end"/>
      </w:r>
    </w:p>
    <w:p>
      <w:pPr>
        <w:pStyle w:val="12"/>
        <w:tabs>
          <w:tab w:val="right" w:leader="dot" w:pos="9062"/>
        </w:tabs>
        <w:spacing w:line="480" w:lineRule="exact"/>
        <w:ind w:firstLine="640"/>
        <w:rPr>
          <w:rFonts w:asciiTheme="minorHAnsi" w:hAnsiTheme="minorHAnsi" w:eastAsiaTheme="minorEastAsia" w:cstheme="minorBidi"/>
          <w:sz w:val="21"/>
        </w:rPr>
      </w:pPr>
      <w:r>
        <w:fldChar w:fldCharType="begin"/>
      </w:r>
      <w:r>
        <w:instrText xml:space="preserve"> HYPERLINK \l "_Toc91149488" </w:instrText>
      </w:r>
      <w:r>
        <w:fldChar w:fldCharType="separate"/>
      </w:r>
      <w:r>
        <w:rPr>
          <w:rStyle w:val="22"/>
        </w:rPr>
        <w:t>（一）指导思想</w:t>
      </w:r>
      <w:r>
        <w:tab/>
      </w:r>
      <w:r>
        <w:fldChar w:fldCharType="begin"/>
      </w:r>
      <w:r>
        <w:instrText xml:space="preserve"> PAGEREF _Toc91149488 \h </w:instrText>
      </w:r>
      <w:r>
        <w:fldChar w:fldCharType="separate"/>
      </w:r>
      <w:r>
        <w:t>11</w:t>
      </w:r>
      <w:r>
        <w:fldChar w:fldCharType="end"/>
      </w:r>
      <w:r>
        <w:fldChar w:fldCharType="end"/>
      </w:r>
    </w:p>
    <w:p>
      <w:pPr>
        <w:pStyle w:val="12"/>
        <w:tabs>
          <w:tab w:val="right" w:leader="dot" w:pos="9062"/>
        </w:tabs>
        <w:spacing w:line="480" w:lineRule="exact"/>
        <w:ind w:firstLine="640"/>
        <w:rPr>
          <w:rFonts w:asciiTheme="minorHAnsi" w:hAnsiTheme="minorHAnsi" w:eastAsiaTheme="minorEastAsia" w:cstheme="minorBidi"/>
          <w:sz w:val="21"/>
        </w:rPr>
      </w:pPr>
      <w:r>
        <w:fldChar w:fldCharType="begin"/>
      </w:r>
      <w:r>
        <w:instrText xml:space="preserve"> HYPERLINK \l "_Toc91149489" </w:instrText>
      </w:r>
      <w:r>
        <w:fldChar w:fldCharType="separate"/>
      </w:r>
      <w:r>
        <w:rPr>
          <w:rStyle w:val="22"/>
        </w:rPr>
        <w:t>（二）发展目标</w:t>
      </w:r>
      <w:r>
        <w:tab/>
      </w:r>
      <w:r>
        <w:fldChar w:fldCharType="begin"/>
      </w:r>
      <w:r>
        <w:instrText xml:space="preserve"> PAGEREF _Toc91149489 \h </w:instrText>
      </w:r>
      <w:r>
        <w:fldChar w:fldCharType="separate"/>
      </w:r>
      <w:r>
        <w:t>12</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"_Toc91149490" </w:instrText>
      </w:r>
      <w:r>
        <w:fldChar w:fldCharType="separate"/>
      </w:r>
      <w:r>
        <w:rPr>
          <w:rStyle w:val="22"/>
        </w:rPr>
        <w:t>1．市场规模与企业能力发展目标</w:t>
      </w:r>
      <w:r>
        <w:tab/>
      </w:r>
      <w:r>
        <w:fldChar w:fldCharType="begin"/>
      </w:r>
      <w:r>
        <w:instrText xml:space="preserve"> PAGEREF _Toc91149490 \h </w:instrText>
      </w:r>
      <w:r>
        <w:fldChar w:fldCharType="separate"/>
      </w:r>
      <w:r>
        <w:t>12</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"_Toc91149491" </w:instrText>
      </w:r>
      <w:r>
        <w:fldChar w:fldCharType="separate"/>
      </w:r>
      <w:r>
        <w:rPr>
          <w:rStyle w:val="22"/>
        </w:rPr>
        <w:t>2．行业人才及队伍建设发展目标</w:t>
      </w:r>
      <w:r>
        <w:tab/>
      </w:r>
      <w:r>
        <w:fldChar w:fldCharType="begin"/>
      </w:r>
      <w:r>
        <w:instrText xml:space="preserve"> PAGEREF _Toc91149491 \h </w:instrText>
      </w:r>
      <w:r>
        <w:fldChar w:fldCharType="separate"/>
      </w:r>
      <w:r>
        <w:t>12</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"_Toc91149492" </w:instrText>
      </w:r>
      <w:r>
        <w:fldChar w:fldCharType="separate"/>
      </w:r>
      <w:r>
        <w:rPr>
          <w:rStyle w:val="22"/>
        </w:rPr>
        <w:t>3．工程质量安全水平提升目标</w:t>
      </w:r>
      <w:r>
        <w:tab/>
      </w:r>
      <w:r>
        <w:fldChar w:fldCharType="begin"/>
      </w:r>
      <w:r>
        <w:instrText xml:space="preserve"> PAGEREF _Toc91149492 \h </w:instrText>
      </w:r>
      <w:r>
        <w:fldChar w:fldCharType="separate"/>
      </w:r>
      <w:r>
        <w:t>13</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"_Toc91149493" </w:instrText>
      </w:r>
      <w:r>
        <w:fldChar w:fldCharType="separate"/>
      </w:r>
      <w:r>
        <w:rPr>
          <w:rStyle w:val="22"/>
        </w:rPr>
        <w:t>4．建造与科技创新目标</w:t>
      </w:r>
      <w:r>
        <w:tab/>
      </w:r>
      <w:r>
        <w:fldChar w:fldCharType="begin"/>
      </w:r>
      <w:r>
        <w:instrText xml:space="preserve"> PAGEREF _Toc91149493 \h </w:instrText>
      </w:r>
      <w:r>
        <w:fldChar w:fldCharType="separate"/>
      </w:r>
      <w:r>
        <w:t>13</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"_Toc91149494" </w:instrText>
      </w:r>
      <w:r>
        <w:fldChar w:fldCharType="separate"/>
      </w:r>
      <w:r>
        <w:rPr>
          <w:rStyle w:val="22"/>
        </w:rPr>
        <w:t>5．行业治理现代化目标</w:t>
      </w:r>
      <w:r>
        <w:tab/>
      </w:r>
      <w:r>
        <w:fldChar w:fldCharType="begin"/>
      </w:r>
      <w:r>
        <w:instrText xml:space="preserve"> PAGEREF _Toc91149494 \h </w:instrText>
      </w:r>
      <w:r>
        <w:fldChar w:fldCharType="separate"/>
      </w:r>
      <w:r>
        <w:t>13</w:t>
      </w:r>
      <w:r>
        <w:fldChar w:fldCharType="end"/>
      </w:r>
      <w:r>
        <w:fldChar w:fldCharType="end"/>
      </w:r>
    </w:p>
    <w:p>
      <w:pPr>
        <w:pStyle w:val="11"/>
        <w:tabs>
          <w:tab w:val="right" w:leader="dot" w:pos="9062"/>
        </w:tabs>
        <w:spacing w:line="480" w:lineRule="exact"/>
        <w:rPr>
          <w:rFonts w:asciiTheme="minorHAnsi" w:hAnsiTheme="minorHAnsi" w:eastAsiaTheme="minorEastAsia" w:cstheme="minorBidi"/>
          <w:sz w:val="21"/>
        </w:rPr>
      </w:pPr>
      <w:r>
        <w:fldChar w:fldCharType="begin"/>
      </w:r>
      <w:r>
        <w:instrText xml:space="preserve"> HYPERLINK \l "_Toc91149495" </w:instrText>
      </w:r>
      <w:r>
        <w:fldChar w:fldCharType="separate"/>
      </w:r>
      <w:r>
        <w:rPr>
          <w:rStyle w:val="22"/>
        </w:rPr>
        <w:t>四、“十四五”主要任务</w:t>
      </w:r>
      <w:r>
        <w:tab/>
      </w:r>
      <w:r>
        <w:fldChar w:fldCharType="begin"/>
      </w:r>
      <w:r>
        <w:instrText xml:space="preserve"> PAGEREF _Toc91149495 \h </w:instrText>
      </w:r>
      <w:r>
        <w:fldChar w:fldCharType="separate"/>
      </w:r>
      <w:r>
        <w:t>15</w:t>
      </w:r>
      <w:r>
        <w:fldChar w:fldCharType="end"/>
      </w:r>
      <w:r>
        <w:fldChar w:fldCharType="end"/>
      </w:r>
    </w:p>
    <w:p>
      <w:pPr>
        <w:pStyle w:val="12"/>
        <w:tabs>
          <w:tab w:val="right" w:leader="dot" w:pos="9062"/>
        </w:tabs>
        <w:spacing w:line="480" w:lineRule="exact"/>
        <w:ind w:firstLine="640"/>
        <w:rPr>
          <w:rFonts w:asciiTheme="minorHAnsi" w:hAnsiTheme="minorHAnsi" w:eastAsiaTheme="minorEastAsia" w:cstheme="minorBidi"/>
          <w:sz w:val="21"/>
        </w:rPr>
      </w:pPr>
      <w:r>
        <w:fldChar w:fldCharType="begin"/>
      </w:r>
      <w:r>
        <w:instrText xml:space="preserve"> HYPERLINK \l "_Toc91149496" </w:instrText>
      </w:r>
      <w:r>
        <w:fldChar w:fldCharType="separate"/>
      </w:r>
      <w:r>
        <w:rPr>
          <w:rStyle w:val="22"/>
        </w:rPr>
        <w:t>（一）培育龙头骨干企业，积聚内生发展新动能</w:t>
      </w:r>
      <w:r>
        <w:tab/>
      </w:r>
      <w:r>
        <w:fldChar w:fldCharType="begin"/>
      </w:r>
      <w:r>
        <w:instrText xml:space="preserve"> PAGEREF _Toc91149496 \h </w:instrText>
      </w:r>
      <w:r>
        <w:fldChar w:fldCharType="separate"/>
      </w:r>
      <w:r>
        <w:t>15</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"_Toc91149497" </w:instrText>
      </w:r>
      <w:r>
        <w:fldChar w:fldCharType="separate"/>
      </w:r>
      <w:r>
        <w:rPr>
          <w:rStyle w:val="22"/>
        </w:rPr>
        <w:t>1．引育并重提升企业竞争力</w:t>
      </w:r>
      <w:r>
        <w:tab/>
      </w:r>
      <w:r>
        <w:fldChar w:fldCharType="begin"/>
      </w:r>
      <w:r>
        <w:instrText xml:space="preserve"> PAGEREF _Toc91149497 \h </w:instrText>
      </w:r>
      <w:r>
        <w:fldChar w:fldCharType="separate"/>
      </w:r>
      <w:r>
        <w:t>15</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"_Toc91149498" </w:instrText>
      </w:r>
      <w:r>
        <w:fldChar w:fldCharType="separate"/>
      </w:r>
      <w:r>
        <w:rPr>
          <w:rStyle w:val="22"/>
        </w:rPr>
        <w:t>2．帮扶企业资质升级</w:t>
      </w:r>
      <w:r>
        <w:tab/>
      </w:r>
      <w:r>
        <w:fldChar w:fldCharType="begin"/>
      </w:r>
      <w:r>
        <w:instrText xml:space="preserve"> PAGEREF _Toc91149498 \h </w:instrText>
      </w:r>
      <w:r>
        <w:fldChar w:fldCharType="separate"/>
      </w:r>
      <w:r>
        <w:t>15</w:t>
      </w:r>
      <w:r>
        <w:fldChar w:fldCharType="end"/>
      </w:r>
      <w:r>
        <w:fldChar w:fldCharType="end"/>
      </w:r>
    </w:p>
    <w:p>
      <w:pPr>
        <w:pStyle w:val="12"/>
        <w:tabs>
          <w:tab w:val="right" w:leader="dot" w:pos="9062"/>
        </w:tabs>
        <w:spacing w:line="480" w:lineRule="exact"/>
        <w:ind w:firstLine="640"/>
        <w:rPr>
          <w:rFonts w:asciiTheme="minorHAnsi" w:hAnsiTheme="minorHAnsi" w:eastAsiaTheme="minorEastAsia" w:cstheme="minorBidi"/>
          <w:sz w:val="21"/>
        </w:rPr>
      </w:pPr>
      <w:r>
        <w:fldChar w:fldCharType="begin"/>
      </w:r>
      <w:r>
        <w:instrText xml:space="preserve"> HYPERLINK \l "_Toc91149499" </w:instrText>
      </w:r>
      <w:r>
        <w:fldChar w:fldCharType="separate"/>
      </w:r>
      <w:r>
        <w:rPr>
          <w:rStyle w:val="22"/>
        </w:rPr>
        <w:t>（二）改进生产组织方式，开创融合发展新格局</w:t>
      </w:r>
      <w:r>
        <w:tab/>
      </w:r>
      <w:r>
        <w:fldChar w:fldCharType="begin"/>
      </w:r>
      <w:r>
        <w:instrText xml:space="preserve"> PAGEREF _Toc91149499 \h </w:instrText>
      </w:r>
      <w:r>
        <w:fldChar w:fldCharType="separate"/>
      </w:r>
      <w:r>
        <w:t>15</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"_Toc91149500" </w:instrText>
      </w:r>
      <w:r>
        <w:fldChar w:fldCharType="separate"/>
      </w:r>
      <w:r>
        <w:rPr>
          <w:rStyle w:val="22"/>
        </w:rPr>
        <w:t>1．推进工程总承包模式</w:t>
      </w:r>
      <w:r>
        <w:tab/>
      </w:r>
      <w:r>
        <w:fldChar w:fldCharType="begin"/>
      </w:r>
      <w:r>
        <w:instrText xml:space="preserve"> PAGEREF _Toc91149500 \h </w:instrText>
      </w:r>
      <w:r>
        <w:fldChar w:fldCharType="separate"/>
      </w:r>
      <w:r>
        <w:t>15</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"_Toc91149501" </w:instrText>
      </w:r>
      <w:r>
        <w:fldChar w:fldCharType="separate"/>
      </w:r>
      <w:r>
        <w:rPr>
          <w:rStyle w:val="22"/>
        </w:rPr>
        <w:t>2．发展全过程咨询服务</w:t>
      </w:r>
      <w:r>
        <w:tab/>
      </w:r>
      <w:r>
        <w:fldChar w:fldCharType="begin"/>
      </w:r>
      <w:r>
        <w:instrText xml:space="preserve"> PAGEREF _Toc91149501 \h </w:instrText>
      </w:r>
      <w:r>
        <w:fldChar w:fldCharType="separate"/>
      </w:r>
      <w:r>
        <w:t>16</w:t>
      </w:r>
      <w:r>
        <w:fldChar w:fldCharType="end"/>
      </w:r>
      <w:r>
        <w:fldChar w:fldCharType="end"/>
      </w:r>
    </w:p>
    <w:p>
      <w:pPr>
        <w:pStyle w:val="12"/>
        <w:tabs>
          <w:tab w:val="right" w:leader="dot" w:pos="9062"/>
        </w:tabs>
        <w:spacing w:line="480" w:lineRule="exact"/>
        <w:ind w:firstLine="640"/>
        <w:rPr>
          <w:rFonts w:asciiTheme="minorHAnsi" w:hAnsiTheme="minorHAnsi" w:eastAsiaTheme="minorEastAsia" w:cstheme="minorBidi"/>
          <w:sz w:val="21"/>
        </w:rPr>
      </w:pPr>
      <w:r>
        <w:fldChar w:fldCharType="begin"/>
      </w:r>
      <w:r>
        <w:instrText xml:space="preserve"> HYPERLINK \l "_Toc91149502" </w:instrText>
      </w:r>
      <w:r>
        <w:fldChar w:fldCharType="separate"/>
      </w:r>
      <w:r>
        <w:rPr>
          <w:rStyle w:val="22"/>
        </w:rPr>
        <w:t>（三）推进大数据智能化发展，加速建造科技创新</w:t>
      </w:r>
      <w:r>
        <w:tab/>
      </w:r>
      <w:r>
        <w:fldChar w:fldCharType="begin"/>
      </w:r>
      <w:r>
        <w:instrText xml:space="preserve"> PAGEREF _Toc91149502 \h </w:instrText>
      </w:r>
      <w:r>
        <w:fldChar w:fldCharType="separate"/>
      </w:r>
      <w:r>
        <w:t>16</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"_Toc91149503" </w:instrText>
      </w:r>
      <w:r>
        <w:fldChar w:fldCharType="separate"/>
      </w:r>
      <w:r>
        <w:rPr>
          <w:rStyle w:val="22"/>
        </w:rPr>
        <w:t>1．加强科技创新体系建设</w:t>
      </w:r>
      <w:r>
        <w:tab/>
      </w:r>
      <w:r>
        <w:fldChar w:fldCharType="begin"/>
      </w:r>
      <w:r>
        <w:instrText xml:space="preserve"> PAGEREF _Toc91149503 \h </w:instrText>
      </w:r>
      <w:r>
        <w:fldChar w:fldCharType="separate"/>
      </w:r>
      <w:r>
        <w:t>16</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"_Toc91149504" </w:instrText>
      </w:r>
      <w:r>
        <w:fldChar w:fldCharType="separate"/>
      </w:r>
      <w:r>
        <w:rPr>
          <w:rStyle w:val="22"/>
        </w:rPr>
        <w:t>2．加快关键建造技术攻关</w:t>
      </w:r>
      <w:r>
        <w:tab/>
      </w:r>
      <w:r>
        <w:fldChar w:fldCharType="begin"/>
      </w:r>
      <w:r>
        <w:instrText xml:space="preserve"> PAGEREF _Toc91149504 \h </w:instrText>
      </w:r>
      <w:r>
        <w:fldChar w:fldCharType="separate"/>
      </w:r>
      <w:r>
        <w:t>16</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"_Toc91149505" </w:instrText>
      </w:r>
      <w:r>
        <w:fldChar w:fldCharType="separate"/>
      </w:r>
      <w:r>
        <w:rPr>
          <w:rStyle w:val="22"/>
        </w:rPr>
        <w:t>3．搭建建造体系创新平台</w:t>
      </w:r>
      <w:r>
        <w:tab/>
      </w:r>
      <w:r>
        <w:fldChar w:fldCharType="begin"/>
      </w:r>
      <w:r>
        <w:instrText xml:space="preserve"> PAGEREF _Toc91149505 \h </w:instrText>
      </w:r>
      <w:r>
        <w:fldChar w:fldCharType="separate"/>
      </w:r>
      <w:r>
        <w:t>17</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"_Toc91149506" </w:instrText>
      </w:r>
      <w:r>
        <w:fldChar w:fldCharType="separate"/>
      </w:r>
      <w:r>
        <w:rPr>
          <w:rStyle w:val="22"/>
        </w:rPr>
        <w:t>4．强化大数据智能化赋能</w:t>
      </w:r>
      <w:r>
        <w:tab/>
      </w:r>
      <w:r>
        <w:fldChar w:fldCharType="begin"/>
      </w:r>
      <w:r>
        <w:instrText xml:space="preserve"> PAGEREF _Toc91149506 \h </w:instrText>
      </w:r>
      <w:r>
        <w:fldChar w:fldCharType="separate"/>
      </w:r>
      <w:r>
        <w:t>17</w:t>
      </w:r>
      <w:r>
        <w:fldChar w:fldCharType="end"/>
      </w:r>
      <w:r>
        <w:fldChar w:fldCharType="end"/>
      </w:r>
    </w:p>
    <w:p>
      <w:pPr>
        <w:pStyle w:val="12"/>
        <w:tabs>
          <w:tab w:val="right" w:leader="dot" w:pos="9062"/>
        </w:tabs>
        <w:spacing w:line="480" w:lineRule="exact"/>
        <w:ind w:firstLine="640"/>
        <w:rPr>
          <w:rFonts w:asciiTheme="minorHAnsi" w:hAnsiTheme="minorHAnsi" w:eastAsiaTheme="minorEastAsia" w:cstheme="minorBidi"/>
          <w:sz w:val="21"/>
        </w:rPr>
      </w:pPr>
      <w:r>
        <w:fldChar w:fldCharType="begin"/>
      </w:r>
      <w:r>
        <w:instrText xml:space="preserve"> HYPERLINK \l "_Toc91149507" </w:instrText>
      </w:r>
      <w:r>
        <w:fldChar w:fldCharType="separate"/>
      </w:r>
      <w:r>
        <w:rPr>
          <w:rStyle w:val="22"/>
        </w:rPr>
        <w:t>（四）全面发展装配式建筑，推动新型建筑工业化</w:t>
      </w:r>
      <w:r>
        <w:tab/>
      </w:r>
      <w:r>
        <w:fldChar w:fldCharType="begin"/>
      </w:r>
      <w:r>
        <w:instrText xml:space="preserve"> PAGEREF _Toc91149507 \h </w:instrText>
      </w:r>
      <w:r>
        <w:fldChar w:fldCharType="separate"/>
      </w:r>
      <w:r>
        <w:t>18</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"_Toc91149508" </w:instrText>
      </w:r>
      <w:r>
        <w:fldChar w:fldCharType="separate"/>
      </w:r>
      <w:r>
        <w:rPr>
          <w:rStyle w:val="22"/>
        </w:rPr>
        <w:t>1．完善装配式建筑产业链条</w:t>
      </w:r>
      <w:r>
        <w:tab/>
      </w:r>
      <w:r>
        <w:fldChar w:fldCharType="begin"/>
      </w:r>
      <w:r>
        <w:instrText xml:space="preserve"> PAGEREF _Toc91149508 \h </w:instrText>
      </w:r>
      <w:r>
        <w:fldChar w:fldCharType="separate"/>
      </w:r>
      <w:r>
        <w:t>18</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"_Toc91149509" </w:instrText>
      </w:r>
      <w:r>
        <w:fldChar w:fldCharType="separate"/>
      </w:r>
      <w:r>
        <w:rPr>
          <w:rStyle w:val="22"/>
        </w:rPr>
        <w:t>2．推动装配式建筑项目实施</w:t>
      </w:r>
      <w:r>
        <w:tab/>
      </w:r>
      <w:r>
        <w:fldChar w:fldCharType="begin"/>
      </w:r>
      <w:r>
        <w:instrText xml:space="preserve"> PAGEREF _Toc91149509 \h </w:instrText>
      </w:r>
      <w:r>
        <w:fldChar w:fldCharType="separate"/>
      </w:r>
      <w:r>
        <w:t>18</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"_Toc91149510" </w:instrText>
      </w:r>
      <w:r>
        <w:fldChar w:fldCharType="separate"/>
      </w:r>
      <w:r>
        <w:rPr>
          <w:rStyle w:val="22"/>
        </w:rPr>
        <w:t>3．提升装配式建筑企业实施能力</w:t>
      </w:r>
      <w:r>
        <w:tab/>
      </w:r>
      <w:r>
        <w:fldChar w:fldCharType="begin"/>
      </w:r>
      <w:r>
        <w:instrText xml:space="preserve"> PAGEREF _Toc91149510 \h </w:instrText>
      </w:r>
      <w:r>
        <w:fldChar w:fldCharType="separate"/>
      </w:r>
      <w:r>
        <w:t>18</w:t>
      </w:r>
      <w:r>
        <w:fldChar w:fldCharType="end"/>
      </w:r>
      <w:r>
        <w:fldChar w:fldCharType="end"/>
      </w:r>
    </w:p>
    <w:p>
      <w:pPr>
        <w:pStyle w:val="12"/>
        <w:tabs>
          <w:tab w:val="right" w:leader="dot" w:pos="9062"/>
        </w:tabs>
        <w:spacing w:line="480" w:lineRule="exact"/>
        <w:ind w:firstLine="640"/>
        <w:rPr>
          <w:rFonts w:asciiTheme="minorHAnsi" w:hAnsiTheme="minorHAnsi" w:eastAsiaTheme="minorEastAsia" w:cstheme="minorBidi"/>
          <w:sz w:val="21"/>
        </w:rPr>
      </w:pPr>
      <w:r>
        <w:fldChar w:fldCharType="begin"/>
      </w:r>
      <w:r>
        <w:instrText xml:space="preserve"> HYPERLINK \l "_Toc91149511" </w:instrText>
      </w:r>
      <w:r>
        <w:fldChar w:fldCharType="separate"/>
      </w:r>
      <w:r>
        <w:rPr>
          <w:rStyle w:val="22"/>
        </w:rPr>
        <w:t>（五）大力发展绿色建造，推动建造方式低碳化</w:t>
      </w:r>
      <w:r>
        <w:tab/>
      </w:r>
      <w:r>
        <w:fldChar w:fldCharType="begin"/>
      </w:r>
      <w:r>
        <w:instrText xml:space="preserve"> PAGEREF _Toc91149511 \h </w:instrText>
      </w:r>
      <w:r>
        <w:fldChar w:fldCharType="separate"/>
      </w:r>
      <w:r>
        <w:t>18</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"_Toc91149512" </w:instrText>
      </w:r>
      <w:r>
        <w:fldChar w:fldCharType="separate"/>
      </w:r>
      <w:r>
        <w:rPr>
          <w:rStyle w:val="22"/>
        </w:rPr>
        <w:t>1．推行绿色建造方式</w:t>
      </w:r>
      <w:r>
        <w:tab/>
      </w:r>
      <w:r>
        <w:fldChar w:fldCharType="begin"/>
      </w:r>
      <w:r>
        <w:instrText xml:space="preserve"> PAGEREF _Toc91149512 \h </w:instrText>
      </w:r>
      <w:r>
        <w:fldChar w:fldCharType="separate"/>
      </w:r>
      <w:r>
        <w:t>18</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"_Toc91149513" </w:instrText>
      </w:r>
      <w:r>
        <w:fldChar w:fldCharType="separate"/>
      </w:r>
      <w:r>
        <w:rPr>
          <w:rStyle w:val="22"/>
        </w:rPr>
        <w:t>2．开展碳达峰碳中和工程示范</w:t>
      </w:r>
      <w:r>
        <w:tab/>
      </w:r>
      <w:r>
        <w:fldChar w:fldCharType="begin"/>
      </w:r>
      <w:r>
        <w:instrText xml:space="preserve"> PAGEREF _Toc91149513 \h </w:instrText>
      </w:r>
      <w:r>
        <w:fldChar w:fldCharType="separate"/>
      </w:r>
      <w:r>
        <w:t>19</w:t>
      </w:r>
      <w:r>
        <w:fldChar w:fldCharType="end"/>
      </w:r>
      <w:r>
        <w:fldChar w:fldCharType="end"/>
      </w:r>
    </w:p>
    <w:p>
      <w:pPr>
        <w:pStyle w:val="12"/>
        <w:tabs>
          <w:tab w:val="right" w:leader="dot" w:pos="9062"/>
        </w:tabs>
        <w:spacing w:line="480" w:lineRule="exact"/>
        <w:ind w:firstLine="640"/>
        <w:rPr>
          <w:rFonts w:asciiTheme="minorHAnsi" w:hAnsiTheme="minorHAnsi" w:eastAsiaTheme="minorEastAsia" w:cstheme="minorBidi"/>
          <w:sz w:val="21"/>
        </w:rPr>
      </w:pPr>
      <w:r>
        <w:fldChar w:fldCharType="begin"/>
      </w:r>
      <w:r>
        <w:instrText xml:space="preserve"> HYPERLINK \l "_Toc91149514" </w:instrText>
      </w:r>
      <w:r>
        <w:fldChar w:fldCharType="separate"/>
      </w:r>
      <w:r>
        <w:rPr>
          <w:rStyle w:val="22"/>
        </w:rPr>
        <w:t>（六）提升质量安全水平，推动治理能力现代化</w:t>
      </w:r>
      <w:r>
        <w:tab/>
      </w:r>
      <w:r>
        <w:fldChar w:fldCharType="begin"/>
      </w:r>
      <w:r>
        <w:instrText xml:space="preserve"> PAGEREF _Toc91149514 \h </w:instrText>
      </w:r>
      <w:r>
        <w:fldChar w:fldCharType="separate"/>
      </w:r>
      <w:r>
        <w:t>19</w:t>
      </w:r>
      <w:r>
        <w:fldChar w:fldCharType="end"/>
      </w:r>
      <w:r>
        <w:fldChar w:fldCharType="end"/>
      </w:r>
      <w:bookmarkStart w:id="261" w:name="_GoBack"/>
      <w:bookmarkEnd w:id="261"/>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"_Toc91149515" </w:instrText>
      </w:r>
      <w:r>
        <w:fldChar w:fldCharType="separate"/>
      </w:r>
      <w:r>
        <w:rPr>
          <w:rStyle w:val="22"/>
        </w:rPr>
        <w:t>1．夯实参建单位主体责任</w:t>
      </w:r>
      <w:r>
        <w:tab/>
      </w:r>
      <w:r>
        <w:fldChar w:fldCharType="begin"/>
      </w:r>
      <w:r>
        <w:instrText xml:space="preserve"> PAGEREF _Toc91149515 \h </w:instrText>
      </w:r>
      <w:r>
        <w:fldChar w:fldCharType="separate"/>
      </w:r>
      <w:r>
        <w:t>19</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"_Toc91149516" </w:instrText>
      </w:r>
      <w:r>
        <w:fldChar w:fldCharType="separate"/>
      </w:r>
      <w:r>
        <w:rPr>
          <w:rStyle w:val="22"/>
        </w:rPr>
        <w:t>2．健全质量安全治理体系</w:t>
      </w:r>
      <w:r>
        <w:tab/>
      </w:r>
      <w:r>
        <w:fldChar w:fldCharType="begin"/>
      </w:r>
      <w:r>
        <w:instrText xml:space="preserve"> PAGEREF _Toc91149516 \h </w:instrText>
      </w:r>
      <w:r>
        <w:fldChar w:fldCharType="separate"/>
      </w:r>
      <w:r>
        <w:t>20</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"_Toc91149517" </w:instrText>
      </w:r>
      <w:r>
        <w:fldChar w:fldCharType="separate"/>
      </w:r>
      <w:r>
        <w:rPr>
          <w:rStyle w:val="22"/>
        </w:rPr>
        <w:t>3．提升质量安全监管水平</w:t>
      </w:r>
      <w:r>
        <w:tab/>
      </w:r>
      <w:r>
        <w:fldChar w:fldCharType="begin"/>
      </w:r>
      <w:r>
        <w:instrText xml:space="preserve"> PAGEREF _Toc91149517 \h </w:instrText>
      </w:r>
      <w:r>
        <w:fldChar w:fldCharType="separate"/>
      </w:r>
      <w:r>
        <w:t>20</w:t>
      </w:r>
      <w:r>
        <w:fldChar w:fldCharType="end"/>
      </w:r>
      <w:r>
        <w:fldChar w:fldCharType="end"/>
      </w:r>
    </w:p>
    <w:p>
      <w:pPr>
        <w:pStyle w:val="12"/>
        <w:tabs>
          <w:tab w:val="right" w:leader="dot" w:pos="9062"/>
        </w:tabs>
        <w:spacing w:line="480" w:lineRule="exact"/>
        <w:ind w:firstLine="640"/>
        <w:rPr>
          <w:rFonts w:asciiTheme="minorHAnsi" w:hAnsiTheme="minorHAnsi" w:eastAsiaTheme="minorEastAsia" w:cstheme="minorBidi"/>
          <w:sz w:val="21"/>
        </w:rPr>
      </w:pPr>
      <w:r>
        <w:fldChar w:fldCharType="begin"/>
      </w:r>
      <w:r>
        <w:instrText xml:space="preserve"> HYPERLINK \l "_Toc91149518" </w:instrText>
      </w:r>
      <w:r>
        <w:fldChar w:fldCharType="separate"/>
      </w:r>
      <w:r>
        <w:rPr>
          <w:rStyle w:val="22"/>
        </w:rPr>
        <w:t>（七）深化“放管服”改革，营造优质行业发展环境</w:t>
      </w:r>
      <w:r>
        <w:tab/>
      </w:r>
      <w:r>
        <w:fldChar w:fldCharType="begin"/>
      </w:r>
      <w:r>
        <w:instrText xml:space="preserve"> PAGEREF _Toc91149518 \h </w:instrText>
      </w:r>
      <w:r>
        <w:fldChar w:fldCharType="separate"/>
      </w:r>
      <w:r>
        <w:t>21</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"_Toc91149519" </w:instrText>
      </w:r>
      <w:r>
        <w:fldChar w:fldCharType="separate"/>
      </w:r>
      <w:r>
        <w:rPr>
          <w:rStyle w:val="22"/>
        </w:rPr>
        <w:t>1．持续优化营商环境</w:t>
      </w:r>
      <w:r>
        <w:tab/>
      </w:r>
      <w:r>
        <w:fldChar w:fldCharType="begin"/>
      </w:r>
      <w:r>
        <w:instrText xml:space="preserve"> PAGEREF _Toc91149519 \h </w:instrText>
      </w:r>
      <w:r>
        <w:fldChar w:fldCharType="separate"/>
      </w:r>
      <w:r>
        <w:t>21</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"_Toc91149520" </w:instrText>
      </w:r>
      <w:r>
        <w:fldChar w:fldCharType="separate"/>
      </w:r>
      <w:r>
        <w:rPr>
          <w:rStyle w:val="22"/>
        </w:rPr>
        <w:t>2．进一步规范市场秩序</w:t>
      </w:r>
      <w:r>
        <w:tab/>
      </w:r>
      <w:r>
        <w:fldChar w:fldCharType="begin"/>
      </w:r>
      <w:r>
        <w:instrText xml:space="preserve"> PAGEREF _Toc91149520 \h </w:instrText>
      </w:r>
      <w:r>
        <w:fldChar w:fldCharType="separate"/>
      </w:r>
      <w:r>
        <w:t>22</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"_Toc91149521" </w:instrText>
      </w:r>
      <w:r>
        <w:fldChar w:fldCharType="separate"/>
      </w:r>
      <w:r>
        <w:rPr>
          <w:rStyle w:val="22"/>
        </w:rPr>
        <w:t>3．深化工程造价改革</w:t>
      </w:r>
      <w:r>
        <w:tab/>
      </w:r>
      <w:r>
        <w:fldChar w:fldCharType="begin"/>
      </w:r>
      <w:r>
        <w:instrText xml:space="preserve"> PAGEREF _Toc91149521 \h </w:instrText>
      </w:r>
      <w:r>
        <w:fldChar w:fldCharType="separate"/>
      </w:r>
      <w:r>
        <w:t>22</w:t>
      </w:r>
      <w:r>
        <w:fldChar w:fldCharType="end"/>
      </w:r>
      <w:r>
        <w:fldChar w:fldCharType="end"/>
      </w:r>
    </w:p>
    <w:p>
      <w:pPr>
        <w:pStyle w:val="12"/>
        <w:tabs>
          <w:tab w:val="right" w:leader="dot" w:pos="9062"/>
        </w:tabs>
        <w:spacing w:line="480" w:lineRule="exact"/>
        <w:ind w:firstLine="640"/>
        <w:rPr>
          <w:rFonts w:asciiTheme="minorHAnsi" w:hAnsiTheme="minorHAnsi" w:eastAsiaTheme="minorEastAsia" w:cstheme="minorBidi"/>
          <w:sz w:val="21"/>
        </w:rPr>
      </w:pPr>
      <w:r>
        <w:fldChar w:fldCharType="begin"/>
      </w:r>
      <w:r>
        <w:instrText xml:space="preserve"> HYPERLINK \l "_Toc91149522" </w:instrText>
      </w:r>
      <w:r>
        <w:fldChar w:fldCharType="separate"/>
      </w:r>
      <w:r>
        <w:rPr>
          <w:rStyle w:val="22"/>
        </w:rPr>
        <w:t>（八）提升人员综合素质，培育人才队伍专业化</w:t>
      </w:r>
      <w:r>
        <w:tab/>
      </w:r>
      <w:r>
        <w:fldChar w:fldCharType="begin"/>
      </w:r>
      <w:r>
        <w:instrText xml:space="preserve"> PAGEREF _Toc91149522 \h </w:instrText>
      </w:r>
      <w:r>
        <w:fldChar w:fldCharType="separate"/>
      </w:r>
      <w:r>
        <w:t>23</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"_Toc91149523" </w:instrText>
      </w:r>
      <w:r>
        <w:fldChar w:fldCharType="separate"/>
      </w:r>
      <w:r>
        <w:rPr>
          <w:rStyle w:val="22"/>
        </w:rPr>
        <w:t>1．培育建筑企业自有工人队伍</w:t>
      </w:r>
      <w:r>
        <w:tab/>
      </w:r>
      <w:r>
        <w:fldChar w:fldCharType="begin"/>
      </w:r>
      <w:r>
        <w:instrText xml:space="preserve"> PAGEREF _Toc91149523 \h </w:instrText>
      </w:r>
      <w:r>
        <w:fldChar w:fldCharType="separate"/>
      </w:r>
      <w:r>
        <w:t>23</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"_Toc91149524" </w:instrText>
      </w:r>
      <w:r>
        <w:fldChar w:fldCharType="separate"/>
      </w:r>
      <w:r>
        <w:rPr>
          <w:rStyle w:val="22"/>
        </w:rPr>
        <w:t>2．加强高层次管理人才队伍建设</w:t>
      </w:r>
      <w:r>
        <w:tab/>
      </w:r>
      <w:r>
        <w:fldChar w:fldCharType="begin"/>
      </w:r>
      <w:r>
        <w:instrText xml:space="preserve"> PAGEREF _Toc91149524 \h </w:instrText>
      </w:r>
      <w:r>
        <w:fldChar w:fldCharType="separate"/>
      </w:r>
      <w:r>
        <w:t>24</w:t>
      </w:r>
      <w:r>
        <w:fldChar w:fldCharType="end"/>
      </w:r>
      <w:r>
        <w:fldChar w:fldCharType="end"/>
      </w:r>
    </w:p>
    <w:p>
      <w:pPr>
        <w:pStyle w:val="12"/>
        <w:tabs>
          <w:tab w:val="right" w:leader="dot" w:pos="9062"/>
        </w:tabs>
        <w:spacing w:line="480" w:lineRule="exact"/>
        <w:ind w:firstLine="640"/>
        <w:rPr>
          <w:rFonts w:asciiTheme="minorHAnsi" w:hAnsiTheme="minorHAnsi" w:eastAsiaTheme="minorEastAsia" w:cstheme="minorBidi"/>
          <w:sz w:val="21"/>
        </w:rPr>
      </w:pPr>
      <w:r>
        <w:fldChar w:fldCharType="begin"/>
      </w:r>
      <w:r>
        <w:instrText xml:space="preserve"> HYPERLINK \l "_Toc91149525" </w:instrText>
      </w:r>
      <w:r>
        <w:fldChar w:fldCharType="separate"/>
      </w:r>
      <w:r>
        <w:rPr>
          <w:rStyle w:val="22"/>
        </w:rPr>
        <w:t>（九）加强川渝建筑业合作，协同推进高质量发展</w:t>
      </w:r>
      <w:r>
        <w:tab/>
      </w:r>
      <w:r>
        <w:fldChar w:fldCharType="begin"/>
      </w:r>
      <w:r>
        <w:instrText xml:space="preserve"> PAGEREF _Toc91149525 \h </w:instrText>
      </w:r>
      <w:r>
        <w:fldChar w:fldCharType="separate"/>
      </w:r>
      <w:r>
        <w:t>24</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"_Toc91149526" </w:instrText>
      </w:r>
      <w:r>
        <w:fldChar w:fldCharType="separate"/>
      </w:r>
      <w:r>
        <w:rPr>
          <w:rStyle w:val="22"/>
        </w:rPr>
        <w:t>1．推动成渝地区双城经济圈建筑产业协同发展</w:t>
      </w:r>
      <w:r>
        <w:tab/>
      </w:r>
      <w:r>
        <w:fldChar w:fldCharType="begin"/>
      </w:r>
      <w:r>
        <w:instrText xml:space="preserve"> PAGEREF _Toc91149526 \h </w:instrText>
      </w:r>
      <w:r>
        <w:fldChar w:fldCharType="separate"/>
      </w:r>
      <w:r>
        <w:t>24</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"_Toc91149527" </w:instrText>
      </w:r>
      <w:r>
        <w:fldChar w:fldCharType="separate"/>
      </w:r>
      <w:r>
        <w:rPr>
          <w:rStyle w:val="22"/>
        </w:rPr>
        <w:t>2．深化成渝地区双城经济圈建筑业“放管服”改革</w:t>
      </w:r>
      <w:r>
        <w:tab/>
      </w:r>
      <w:r>
        <w:fldChar w:fldCharType="begin"/>
      </w:r>
      <w:r>
        <w:instrText xml:space="preserve"> PAGEREF _Toc91149527 \h </w:instrText>
      </w:r>
      <w:r>
        <w:fldChar w:fldCharType="separate"/>
      </w:r>
      <w:r>
        <w:t>25</w:t>
      </w:r>
      <w:r>
        <w:fldChar w:fldCharType="end"/>
      </w:r>
      <w:r>
        <w:fldChar w:fldCharType="end"/>
      </w:r>
    </w:p>
    <w:p>
      <w:pPr>
        <w:pStyle w:val="12"/>
        <w:tabs>
          <w:tab w:val="right" w:leader="dot" w:pos="9062"/>
        </w:tabs>
        <w:spacing w:line="480" w:lineRule="exact"/>
        <w:ind w:firstLine="640"/>
        <w:rPr>
          <w:rFonts w:asciiTheme="minorHAnsi" w:hAnsiTheme="minorHAnsi" w:eastAsiaTheme="minorEastAsia" w:cstheme="minorBidi"/>
          <w:sz w:val="21"/>
        </w:rPr>
      </w:pPr>
      <w:r>
        <w:fldChar w:fldCharType="begin"/>
      </w:r>
      <w:r>
        <w:instrText xml:space="preserve"> HYPERLINK \l "_Toc91149528" </w:instrText>
      </w:r>
      <w:r>
        <w:fldChar w:fldCharType="separate"/>
      </w:r>
      <w:r>
        <w:rPr>
          <w:rStyle w:val="22"/>
        </w:rPr>
        <w:t>（十）积极拓展外部市场，拓展行业发展新空间</w:t>
      </w:r>
      <w:r>
        <w:tab/>
      </w:r>
      <w:r>
        <w:fldChar w:fldCharType="begin"/>
      </w:r>
      <w:r>
        <w:instrText xml:space="preserve"> PAGEREF _Toc91149528 \h </w:instrText>
      </w:r>
      <w:r>
        <w:fldChar w:fldCharType="separate"/>
      </w:r>
      <w:r>
        <w:t>25</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"_Toc91149529" </w:instrText>
      </w:r>
      <w:r>
        <w:fldChar w:fldCharType="separate"/>
      </w:r>
      <w:r>
        <w:rPr>
          <w:rStyle w:val="22"/>
        </w:rPr>
        <w:t>1．提高建筑企业对外承包能力</w:t>
      </w:r>
      <w:r>
        <w:tab/>
      </w:r>
      <w:r>
        <w:fldChar w:fldCharType="begin"/>
      </w:r>
      <w:r>
        <w:instrText xml:space="preserve"> PAGEREF _Toc91149529 \h </w:instrText>
      </w:r>
      <w:r>
        <w:fldChar w:fldCharType="separate"/>
      </w:r>
      <w:r>
        <w:t>25</w:t>
      </w:r>
      <w:r>
        <w:fldChar w:fldCharType="end"/>
      </w:r>
      <w:r>
        <w:fldChar w:fldCharType="end"/>
      </w:r>
    </w:p>
    <w:p>
      <w:pPr>
        <w:pStyle w:val="7"/>
        <w:tabs>
          <w:tab w:val="right" w:leader="dot" w:pos="9062"/>
        </w:tabs>
        <w:spacing w:line="480" w:lineRule="exact"/>
        <w:ind w:left="1280"/>
        <w:rPr>
          <w:rFonts w:asciiTheme="minorHAnsi" w:hAnsiTheme="minorHAnsi" w:eastAsiaTheme="minorEastAsia" w:cstheme="minorBidi"/>
          <w:sz w:val="21"/>
        </w:rPr>
      </w:pPr>
      <w:r>
        <w:fldChar w:fldCharType="begin"/>
      </w:r>
      <w:r>
        <w:instrText xml:space="preserve"> HYPERLINK \l "_Toc91149530" </w:instrText>
      </w:r>
      <w:r>
        <w:fldChar w:fldCharType="separate"/>
      </w:r>
      <w:r>
        <w:rPr>
          <w:rStyle w:val="22"/>
        </w:rPr>
        <w:t>2．加强建筑企业对外开拓扶持</w:t>
      </w:r>
      <w:r>
        <w:tab/>
      </w:r>
      <w:r>
        <w:fldChar w:fldCharType="begin"/>
      </w:r>
      <w:r>
        <w:instrText xml:space="preserve"> PAGEREF _Toc91149530 \h </w:instrText>
      </w:r>
      <w:r>
        <w:fldChar w:fldCharType="separate"/>
      </w:r>
      <w:r>
        <w:t>25</w:t>
      </w:r>
      <w:r>
        <w:fldChar w:fldCharType="end"/>
      </w:r>
      <w:r>
        <w:fldChar w:fldCharType="end"/>
      </w:r>
    </w:p>
    <w:p>
      <w:pPr>
        <w:pStyle w:val="11"/>
        <w:tabs>
          <w:tab w:val="right" w:leader="dot" w:pos="9062"/>
        </w:tabs>
        <w:spacing w:line="480" w:lineRule="exact"/>
        <w:rPr>
          <w:rFonts w:asciiTheme="minorHAnsi" w:hAnsiTheme="minorHAnsi" w:eastAsiaTheme="minorEastAsia" w:cstheme="minorBidi"/>
          <w:sz w:val="21"/>
        </w:rPr>
      </w:pPr>
      <w:r>
        <w:fldChar w:fldCharType="begin"/>
      </w:r>
      <w:r>
        <w:instrText xml:space="preserve"> HYPERLINK \l "_Toc91149531" </w:instrText>
      </w:r>
      <w:r>
        <w:fldChar w:fldCharType="separate"/>
      </w:r>
      <w:r>
        <w:rPr>
          <w:rStyle w:val="22"/>
        </w:rPr>
        <w:t>五、保障措施</w:t>
      </w:r>
      <w:r>
        <w:tab/>
      </w:r>
      <w:r>
        <w:fldChar w:fldCharType="begin"/>
      </w:r>
      <w:r>
        <w:instrText xml:space="preserve"> PAGEREF _Toc91149531 \h </w:instrText>
      </w:r>
      <w:r>
        <w:fldChar w:fldCharType="separate"/>
      </w:r>
      <w:r>
        <w:t>26</w:t>
      </w:r>
      <w:r>
        <w:fldChar w:fldCharType="end"/>
      </w:r>
      <w:r>
        <w:fldChar w:fldCharType="end"/>
      </w:r>
    </w:p>
    <w:p>
      <w:pPr>
        <w:pStyle w:val="12"/>
        <w:tabs>
          <w:tab w:val="right" w:leader="dot" w:pos="9062"/>
        </w:tabs>
        <w:spacing w:line="480" w:lineRule="exact"/>
        <w:ind w:firstLine="640"/>
        <w:rPr>
          <w:rFonts w:asciiTheme="minorHAnsi" w:hAnsiTheme="minorHAnsi" w:eastAsiaTheme="minorEastAsia" w:cstheme="minorBidi"/>
          <w:sz w:val="21"/>
        </w:rPr>
      </w:pPr>
      <w:r>
        <w:fldChar w:fldCharType="begin"/>
      </w:r>
      <w:r>
        <w:instrText xml:space="preserve"> HYPERLINK \l "_Toc91149532" </w:instrText>
      </w:r>
      <w:r>
        <w:fldChar w:fldCharType="separate"/>
      </w:r>
      <w:r>
        <w:rPr>
          <w:rStyle w:val="22"/>
        </w:rPr>
        <w:t>（一）强化组织领导</w:t>
      </w:r>
      <w:r>
        <w:tab/>
      </w:r>
      <w:r>
        <w:fldChar w:fldCharType="begin"/>
      </w:r>
      <w:r>
        <w:instrText xml:space="preserve"> PAGEREF _Toc91149532 \h </w:instrText>
      </w:r>
      <w:r>
        <w:fldChar w:fldCharType="separate"/>
      </w:r>
      <w:r>
        <w:t>26</w:t>
      </w:r>
      <w:r>
        <w:fldChar w:fldCharType="end"/>
      </w:r>
      <w:r>
        <w:fldChar w:fldCharType="end"/>
      </w:r>
    </w:p>
    <w:p>
      <w:pPr>
        <w:pStyle w:val="12"/>
        <w:tabs>
          <w:tab w:val="right" w:leader="dot" w:pos="9062"/>
        </w:tabs>
        <w:spacing w:line="480" w:lineRule="exact"/>
        <w:ind w:firstLine="640"/>
        <w:rPr>
          <w:rFonts w:asciiTheme="minorHAnsi" w:hAnsiTheme="minorHAnsi" w:eastAsiaTheme="minorEastAsia" w:cstheme="minorBidi"/>
          <w:sz w:val="21"/>
        </w:rPr>
      </w:pPr>
      <w:r>
        <w:fldChar w:fldCharType="begin"/>
      </w:r>
      <w:r>
        <w:instrText xml:space="preserve"> HYPERLINK \l "_Toc91149533" </w:instrText>
      </w:r>
      <w:r>
        <w:fldChar w:fldCharType="separate"/>
      </w:r>
      <w:r>
        <w:rPr>
          <w:rStyle w:val="22"/>
        </w:rPr>
        <w:t>（二）强化制度保障</w:t>
      </w:r>
      <w:r>
        <w:tab/>
      </w:r>
      <w:r>
        <w:fldChar w:fldCharType="begin"/>
      </w:r>
      <w:r>
        <w:instrText xml:space="preserve"> PAGEREF _Toc91149533 \h </w:instrText>
      </w:r>
      <w:r>
        <w:fldChar w:fldCharType="separate"/>
      </w:r>
      <w:r>
        <w:t>26</w:t>
      </w:r>
      <w:r>
        <w:fldChar w:fldCharType="end"/>
      </w:r>
      <w:r>
        <w:fldChar w:fldCharType="end"/>
      </w:r>
    </w:p>
    <w:p>
      <w:pPr>
        <w:pStyle w:val="12"/>
        <w:tabs>
          <w:tab w:val="right" w:leader="dot" w:pos="9062"/>
        </w:tabs>
        <w:spacing w:line="480" w:lineRule="exact"/>
        <w:ind w:firstLine="640"/>
        <w:rPr>
          <w:rFonts w:asciiTheme="minorHAnsi" w:hAnsiTheme="minorHAnsi" w:eastAsiaTheme="minorEastAsia" w:cstheme="minorBidi"/>
          <w:sz w:val="21"/>
        </w:rPr>
      </w:pPr>
      <w:r>
        <w:fldChar w:fldCharType="begin"/>
      </w:r>
      <w:r>
        <w:instrText xml:space="preserve"> HYPERLINK \l "_Toc91149534" </w:instrText>
      </w:r>
      <w:r>
        <w:fldChar w:fldCharType="separate"/>
      </w:r>
      <w:r>
        <w:rPr>
          <w:rStyle w:val="22"/>
        </w:rPr>
        <w:t>（三）强化科技创新</w:t>
      </w:r>
      <w:r>
        <w:tab/>
      </w:r>
      <w:r>
        <w:fldChar w:fldCharType="begin"/>
      </w:r>
      <w:r>
        <w:instrText xml:space="preserve"> PAGEREF _Toc91149534 \h </w:instrText>
      </w:r>
      <w:r>
        <w:fldChar w:fldCharType="separate"/>
      </w:r>
      <w:r>
        <w:t>26</w:t>
      </w:r>
      <w:r>
        <w:fldChar w:fldCharType="end"/>
      </w:r>
      <w:r>
        <w:fldChar w:fldCharType="end"/>
      </w:r>
    </w:p>
    <w:p>
      <w:pPr>
        <w:pStyle w:val="12"/>
        <w:tabs>
          <w:tab w:val="right" w:leader="dot" w:pos="9062"/>
        </w:tabs>
        <w:spacing w:line="480" w:lineRule="exact"/>
        <w:ind w:firstLine="640"/>
        <w:rPr>
          <w:rFonts w:asciiTheme="minorHAnsi" w:hAnsiTheme="minorHAnsi" w:eastAsiaTheme="minorEastAsia" w:cstheme="minorBidi"/>
          <w:sz w:val="21"/>
        </w:rPr>
      </w:pPr>
      <w:r>
        <w:fldChar w:fldCharType="begin"/>
      </w:r>
      <w:r>
        <w:instrText xml:space="preserve"> HYPERLINK \l "_Toc91149535" </w:instrText>
      </w:r>
      <w:r>
        <w:fldChar w:fldCharType="separate"/>
      </w:r>
      <w:r>
        <w:rPr>
          <w:rStyle w:val="22"/>
        </w:rPr>
        <w:t>（四）强化帮扶激励</w:t>
      </w:r>
      <w:r>
        <w:tab/>
      </w:r>
      <w:r>
        <w:fldChar w:fldCharType="begin"/>
      </w:r>
      <w:r>
        <w:instrText xml:space="preserve"> PAGEREF _Toc91149535 \h </w:instrText>
      </w:r>
      <w:r>
        <w:fldChar w:fldCharType="separate"/>
      </w:r>
      <w:r>
        <w:t>26</w:t>
      </w:r>
      <w:r>
        <w:fldChar w:fldCharType="end"/>
      </w:r>
      <w:r>
        <w:fldChar w:fldCharType="end"/>
      </w:r>
    </w:p>
    <w:p>
      <w:pPr>
        <w:pStyle w:val="12"/>
        <w:tabs>
          <w:tab w:val="right" w:leader="dot" w:pos="9062"/>
        </w:tabs>
        <w:spacing w:line="480" w:lineRule="exact"/>
        <w:ind w:firstLine="640"/>
        <w:rPr>
          <w:rFonts w:asciiTheme="minorHAnsi" w:hAnsiTheme="minorHAnsi" w:eastAsiaTheme="minorEastAsia" w:cstheme="minorBidi"/>
          <w:sz w:val="21"/>
        </w:rPr>
      </w:pPr>
      <w:r>
        <w:fldChar w:fldCharType="begin"/>
      </w:r>
      <w:r>
        <w:instrText xml:space="preserve"> HYPERLINK \l "_Toc91149536" </w:instrText>
      </w:r>
      <w:r>
        <w:fldChar w:fldCharType="separate"/>
      </w:r>
      <w:r>
        <w:rPr>
          <w:rStyle w:val="22"/>
        </w:rPr>
        <w:t>（五）强化对外合作</w:t>
      </w:r>
      <w:r>
        <w:tab/>
      </w:r>
      <w:r>
        <w:fldChar w:fldCharType="begin"/>
      </w:r>
      <w:r>
        <w:instrText xml:space="preserve"> PAGEREF _Toc91149536 \h </w:instrText>
      </w:r>
      <w:r>
        <w:fldChar w:fldCharType="separate"/>
      </w:r>
      <w:r>
        <w:t>27</w:t>
      </w:r>
      <w:r>
        <w:fldChar w:fldCharType="end"/>
      </w:r>
      <w:r>
        <w:fldChar w:fldCharType="end"/>
      </w:r>
    </w:p>
    <w:p>
      <w:pPr>
        <w:spacing w:line="480" w:lineRule="exact"/>
        <w:ind w:firstLine="640"/>
        <w:rPr>
          <w:color w:val="000000" w:themeColor="text1"/>
          <w:szCs w:val="32"/>
          <w14:textFill>
            <w14:solidFill>
              <w14:schemeClr w14:val="tx1"/>
            </w14:solidFill>
          </w14:textFill>
        </w:rPr>
        <w:sectPr>
          <w:headerReference r:id="rId5" w:type="default"/>
          <w:footerReference r:id="rId6" w:type="default"/>
          <w:pgSz w:w="11906" w:h="16838"/>
          <w:pgMar w:top="1417" w:right="1417" w:bottom="1417" w:left="1417" w:header="851" w:footer="992" w:gutter="0"/>
          <w:pgNumType w:fmt="upperRoman" w:start="1"/>
          <w:cols w:space="0" w:num="1"/>
          <w:docGrid w:type="lines" w:linePitch="312" w:charSpace="0"/>
        </w:sectPr>
      </w:pPr>
      <w:r>
        <w:rPr>
          <w:rFonts w:eastAsia="黑体"/>
          <w:color w:val="000000" w:themeColor="text1"/>
          <w:szCs w:val="32"/>
          <w14:textFill>
            <w14:solidFill>
              <w14:schemeClr w14:val="tx1"/>
            </w14:solidFill>
          </w14:textFill>
        </w:rPr>
        <w:fldChar w:fldCharType="end"/>
      </w:r>
    </w:p>
    <w:p>
      <w:pPr>
        <w:pStyle w:val="2"/>
        <w:ind w:firstLine="640"/>
      </w:pPr>
      <w:bookmarkStart w:id="1" w:name="_Toc91149459"/>
      <w:bookmarkStart w:id="2" w:name="_Toc2259"/>
      <w:bookmarkStart w:id="3" w:name="_Toc66457104"/>
      <w:bookmarkStart w:id="4" w:name="_Toc15181"/>
      <w:bookmarkStart w:id="5" w:name="_Toc65746596"/>
      <w:bookmarkStart w:id="6" w:name="_Toc25347"/>
      <w:r>
        <w:rPr>
          <w:rFonts w:hint="eastAsia"/>
        </w:rPr>
        <w:t>一、“十三五”发展回顾</w:t>
      </w:r>
      <w:bookmarkEnd w:id="1"/>
      <w:bookmarkEnd w:id="2"/>
      <w:bookmarkEnd w:id="3"/>
      <w:bookmarkEnd w:id="4"/>
      <w:bookmarkEnd w:id="5"/>
      <w:bookmarkEnd w:id="6"/>
    </w:p>
    <w:p>
      <w:pPr>
        <w:pStyle w:val="3"/>
        <w:ind w:firstLine="643"/>
      </w:pPr>
      <w:bookmarkStart w:id="7" w:name="_Toc66457105"/>
      <w:bookmarkStart w:id="8" w:name="_Toc91149460"/>
      <w:bookmarkStart w:id="9" w:name="_Toc65746597"/>
      <w:bookmarkStart w:id="10" w:name="_Toc5297"/>
      <w:bookmarkStart w:id="11" w:name="_Toc23927"/>
      <w:bookmarkStart w:id="12" w:name="_Toc1014"/>
      <w:r>
        <w:rPr>
          <w:rFonts w:hint="eastAsia"/>
        </w:rPr>
        <w:t>（一）主要成就</w:t>
      </w:r>
      <w:bookmarkEnd w:id="7"/>
      <w:bookmarkEnd w:id="8"/>
      <w:bookmarkEnd w:id="9"/>
      <w:bookmarkEnd w:id="10"/>
      <w:bookmarkEnd w:id="11"/>
      <w:bookmarkEnd w:id="12"/>
    </w:p>
    <w:p>
      <w:pPr>
        <w:ind w:firstLine="640"/>
      </w:pPr>
      <w:r>
        <w:rPr>
          <w:rFonts w:hint="eastAsia"/>
        </w:rPr>
        <w:t>“十三五”期间，重庆市建筑业持续健康发展，支柱产业作用不断增强，供给侧结构性改革取得重要进展，工程建设水平不断提高，质量安全水平稳步提升，行业转型升级按下“快进键”，克服新冠</w:t>
      </w:r>
      <w:r>
        <w:rPr>
          <w:rFonts w:hint="eastAsia"/>
          <w:lang w:eastAsia="zh-CN"/>
        </w:rPr>
        <w:t>肺炎</w:t>
      </w:r>
      <w:r>
        <w:rPr>
          <w:rFonts w:hint="eastAsia"/>
        </w:rPr>
        <w:t>疫情带来的不利影响，为我市经济持续健康发展、人民安居乐业、社会和谐稳定做出了重要贡献。“十三五”期间全市累计完成建筑业总产值4万亿元，年均增长</w:t>
      </w:r>
      <w:r>
        <w:t>7.</w:t>
      </w:r>
      <w:r>
        <w:rPr>
          <w:rFonts w:hint="eastAsia"/>
        </w:rPr>
        <w:t>5</w:t>
      </w:r>
      <w:r>
        <w:t>%</w:t>
      </w:r>
      <w:r>
        <w:rPr>
          <w:rFonts w:hint="eastAsia"/>
        </w:rPr>
        <w:t>，累计实现增加值1.25万亿元，年均增长</w:t>
      </w:r>
      <w:r>
        <w:t>14.</w:t>
      </w:r>
      <w:r>
        <w:rPr>
          <w:rFonts w:hint="eastAsia"/>
        </w:rPr>
        <w:t>7</w:t>
      </w:r>
      <w:r>
        <w:t>%</w:t>
      </w:r>
      <w:r>
        <w:rPr>
          <w:rFonts w:hint="eastAsia"/>
        </w:rPr>
        <w:t>。2020年建筑业增加值占地区生产总值的比重为</w:t>
      </w:r>
      <w:r>
        <w:t>12%</w:t>
      </w:r>
      <w:r>
        <w:rPr>
          <w:rFonts w:hint="eastAsia"/>
        </w:rPr>
        <w:t>，高于全国4.8个百分点；建筑业拉动就业不断发力，全市建筑业从业人数超过285万人，约占全市就业人员总数的16.5%。</w:t>
      </w:r>
    </w:p>
    <w:p>
      <w:pPr>
        <w:pStyle w:val="4"/>
        <w:ind w:firstLine="643"/>
      </w:pPr>
      <w:bookmarkStart w:id="13" w:name="_Toc19306"/>
      <w:bookmarkStart w:id="14" w:name="_Toc65746598"/>
      <w:bookmarkStart w:id="15" w:name="_Toc8461"/>
      <w:bookmarkStart w:id="16" w:name="_Toc66457106"/>
      <w:bookmarkStart w:id="17" w:name="_Toc91149461"/>
      <w:bookmarkStart w:id="18" w:name="_Toc9148"/>
      <w:r>
        <w:rPr>
          <w:rFonts w:hint="eastAsia"/>
        </w:rPr>
        <w:t>1．建筑企业规模不断壮大</w:t>
      </w:r>
      <w:bookmarkEnd w:id="13"/>
      <w:bookmarkEnd w:id="14"/>
      <w:bookmarkEnd w:id="15"/>
      <w:bookmarkEnd w:id="16"/>
      <w:bookmarkEnd w:id="17"/>
      <w:bookmarkEnd w:id="18"/>
    </w:p>
    <w:p>
      <w:pPr>
        <w:ind w:firstLine="640"/>
        <w:rPr>
          <w:color w:val="000000" w:themeColor="text1"/>
          <w:szCs w:val="32"/>
          <w14:textFill>
            <w14:solidFill>
              <w14:schemeClr w14:val="tx1"/>
            </w14:solidFill>
          </w14:textFill>
        </w:rPr>
      </w:pPr>
      <w:r>
        <w:rPr>
          <w:rFonts w:hint="eastAsia" w:ascii="方正仿宋_GBK" w:cs="方正仿宋_GBK"/>
          <w:color w:val="000000" w:themeColor="text1"/>
          <w:szCs w:val="32"/>
          <w14:textFill>
            <w14:solidFill>
              <w14:schemeClr w14:val="tx1"/>
            </w14:solidFill>
          </w14:textFill>
        </w:rPr>
        <w:t>“十三五”期间，重庆市加大建筑业产业结构调整力度，促进建筑业企业做大做强、做精做专，企业资质结构和产业结构不断优化。</w:t>
      </w:r>
      <w:r>
        <w:rPr>
          <w:color w:val="000000" w:themeColor="text1"/>
          <w:szCs w:val="32"/>
          <w14:textFill>
            <w14:solidFill>
              <w14:schemeClr w14:val="tx1"/>
            </w14:solidFill>
          </w14:textFill>
        </w:rPr>
        <w:t>全市</w:t>
      </w:r>
      <w:r>
        <w:rPr>
          <w:rFonts w:hint="eastAsia" w:ascii="方正仿宋_GBK" w:cs="方正仿宋_GBK"/>
          <w:color w:val="000000" w:themeColor="text1"/>
          <w:szCs w:val="32"/>
          <w14:textFill>
            <w14:solidFill>
              <w14:schemeClr w14:val="tx1"/>
            </w14:solidFill>
          </w14:textFill>
        </w:rPr>
        <w:t>累计</w:t>
      </w:r>
      <w:r>
        <w:rPr>
          <w:szCs w:val="32"/>
        </w:rPr>
        <w:t>新增特级资质</w:t>
      </w:r>
      <w:r>
        <w:rPr>
          <w:rFonts w:hint="eastAsia"/>
          <w:szCs w:val="32"/>
        </w:rPr>
        <w:t>施工企业</w:t>
      </w:r>
      <w:r>
        <w:rPr>
          <w:szCs w:val="32"/>
        </w:rPr>
        <w:t>7家，新增一级资质</w:t>
      </w:r>
      <w:r>
        <w:rPr>
          <w:rFonts w:hint="eastAsia"/>
          <w:szCs w:val="32"/>
        </w:rPr>
        <w:t>施工</w:t>
      </w:r>
      <w:r>
        <w:rPr>
          <w:szCs w:val="32"/>
        </w:rPr>
        <w:t>企业</w:t>
      </w:r>
      <w:r>
        <w:rPr>
          <w:rFonts w:hint="eastAsia"/>
          <w:szCs w:val="32"/>
        </w:rPr>
        <w:t>287</w:t>
      </w:r>
      <w:r>
        <w:rPr>
          <w:szCs w:val="32"/>
        </w:rPr>
        <w:t>家</w:t>
      </w:r>
      <w:r>
        <w:rPr>
          <w:rFonts w:hint="eastAsia"/>
          <w:color w:val="000000" w:themeColor="text1"/>
          <w:szCs w:val="32"/>
          <w14:textFill>
            <w14:solidFill>
              <w14:schemeClr w14:val="tx1"/>
            </w14:solidFill>
          </w14:textFill>
        </w:rPr>
        <w:t>。建筑</w:t>
      </w:r>
      <w:r>
        <w:rPr>
          <w:rFonts w:hint="eastAsia"/>
          <w:color w:val="000000" w:themeColor="text1"/>
          <w:szCs w:val="32"/>
          <w:lang w:eastAsia="zh-CN"/>
          <w14:textFill>
            <w14:solidFill>
              <w14:schemeClr w14:val="tx1"/>
            </w14:solidFill>
          </w14:textFill>
        </w:rPr>
        <w:t>业</w:t>
      </w:r>
      <w:r>
        <w:rPr>
          <w:rFonts w:hint="eastAsia"/>
          <w:color w:val="000000" w:themeColor="text1"/>
          <w:szCs w:val="32"/>
          <w14:textFill>
            <w14:solidFill>
              <w14:schemeClr w14:val="tx1"/>
            </w14:solidFill>
          </w14:textFill>
        </w:rPr>
        <w:t>企业总</w:t>
      </w:r>
      <w:r>
        <w:rPr>
          <w:color w:val="000000" w:themeColor="text1"/>
          <w:szCs w:val="32"/>
          <w14:textFill>
            <w14:solidFill>
              <w14:schemeClr w14:val="tx1"/>
            </w14:solidFill>
          </w14:textFill>
        </w:rPr>
        <w:t>计</w:t>
      </w:r>
      <w:r>
        <w:rPr>
          <w:rFonts w:hint="eastAsia"/>
          <w:color w:val="000000" w:themeColor="text1"/>
          <w:szCs w:val="32"/>
          <w14:textFill>
            <w14:solidFill>
              <w14:schemeClr w14:val="tx1"/>
            </w14:solidFill>
          </w14:textFill>
        </w:rPr>
        <w:t>13384</w:t>
      </w:r>
      <w:r>
        <w:rPr>
          <w:color w:val="000000" w:themeColor="text1"/>
          <w:szCs w:val="32"/>
          <w14:textFill>
            <w14:solidFill>
              <w14:schemeClr w14:val="tx1"/>
            </w14:solidFill>
          </w14:textFill>
        </w:rPr>
        <w:t>家，</w:t>
      </w:r>
      <w:r>
        <w:rPr>
          <w:rFonts w:hint="eastAsia"/>
          <w:color w:val="000000" w:themeColor="text1"/>
          <w:szCs w:val="32"/>
          <w14:textFill>
            <w14:solidFill>
              <w14:schemeClr w14:val="tx1"/>
            </w14:solidFill>
          </w14:textFill>
        </w:rPr>
        <w:t>较“十二五”</w:t>
      </w:r>
      <w:r>
        <w:rPr>
          <w:color w:val="000000" w:themeColor="text1"/>
          <w:szCs w:val="32"/>
          <w14:textFill>
            <w14:solidFill>
              <w14:schemeClr w14:val="tx1"/>
            </w14:solidFill>
          </w14:textFill>
        </w:rPr>
        <w:t>增加</w:t>
      </w:r>
      <w:r>
        <w:rPr>
          <w:rFonts w:hint="eastAsia"/>
          <w:color w:val="000000" w:themeColor="text1"/>
          <w:szCs w:val="32"/>
          <w14:textFill>
            <w14:solidFill>
              <w14:schemeClr w14:val="tx1"/>
            </w14:solidFill>
          </w14:textFill>
        </w:rPr>
        <w:t>62.3%</w:t>
      </w:r>
      <w:r>
        <w:rPr>
          <w:color w:val="000000" w:themeColor="text1"/>
          <w:szCs w:val="32"/>
          <w14:textFill>
            <w14:solidFill>
              <w14:schemeClr w14:val="tx1"/>
            </w14:solidFill>
          </w14:textFill>
        </w:rPr>
        <w:t>，其中一级</w:t>
      </w:r>
      <w:r>
        <w:rPr>
          <w:rFonts w:hint="eastAsia"/>
          <w:color w:val="000000" w:themeColor="text1"/>
          <w:szCs w:val="32"/>
          <w14:textFill>
            <w14:solidFill>
              <w14:schemeClr w14:val="tx1"/>
            </w14:solidFill>
          </w14:textFill>
        </w:rPr>
        <w:t>及</w:t>
      </w:r>
      <w:r>
        <w:rPr>
          <w:color w:val="000000" w:themeColor="text1"/>
          <w:szCs w:val="32"/>
          <w14:textFill>
            <w14:solidFill>
              <w14:schemeClr w14:val="tx1"/>
            </w14:solidFill>
          </w14:textFill>
        </w:rPr>
        <w:t>以上施工企业754家，同比增加14.4%</w:t>
      </w:r>
      <w:r>
        <w:rPr>
          <w:rFonts w:hint="eastAsia"/>
          <w:color w:val="000000" w:themeColor="text1"/>
          <w:szCs w:val="32"/>
          <w14:textFill>
            <w14:solidFill>
              <w14:schemeClr w14:val="tx1"/>
            </w14:solidFill>
          </w14:textFill>
        </w:rPr>
        <w:t>，稳居西部第一梯队行列。2020年，一级及以上资质企业实现建筑业产值</w:t>
      </w:r>
      <w:r>
        <w:rPr>
          <w:color w:val="000000" w:themeColor="text1"/>
          <w:szCs w:val="32"/>
          <w14:textFill>
            <w14:solidFill>
              <w14:schemeClr w14:val="tx1"/>
            </w14:solidFill>
          </w14:textFill>
        </w:rPr>
        <w:t>4263.6</w:t>
      </w:r>
      <w:r>
        <w:rPr>
          <w:rFonts w:hint="eastAsia"/>
          <w:color w:val="000000" w:themeColor="text1"/>
          <w:szCs w:val="32"/>
          <w14:textFill>
            <w14:solidFill>
              <w14:schemeClr w14:val="tx1"/>
            </w14:solidFill>
          </w14:textFill>
        </w:rPr>
        <w:t>亿元，完成全市47.5%的产值额，本地企业实现产值50亿元以上共16家，20亿元以上共32家，龙头企业优势突出，产业集中度不断提升。“十三五”期间，监理专业配套能力不断提升，全市工程监理企业共计138家，相比“十二五”增加38家，其中甲级及以上8</w:t>
      </w:r>
      <w:r>
        <w:rPr>
          <w:color w:val="000000" w:themeColor="text1"/>
          <w:szCs w:val="32"/>
          <w14:textFill>
            <w14:solidFill>
              <w14:schemeClr w14:val="tx1"/>
            </w14:solidFill>
          </w14:textFill>
        </w:rPr>
        <w:t>2</w:t>
      </w:r>
      <w:r>
        <w:rPr>
          <w:rFonts w:hint="eastAsia"/>
          <w:color w:val="000000" w:themeColor="text1"/>
          <w:szCs w:val="32"/>
          <w14:textFill>
            <w14:solidFill>
              <w14:schemeClr w14:val="tx1"/>
            </w14:solidFill>
          </w14:textFill>
        </w:rPr>
        <w:t>家，同比增加21家。</w:t>
      </w:r>
    </w:p>
    <w:p>
      <w:pPr>
        <w:ind w:firstLine="640"/>
        <w:rPr>
          <w:color w:val="000000" w:themeColor="text1"/>
          <w:szCs w:val="32"/>
          <w14:textFill>
            <w14:solidFill>
              <w14:schemeClr w14:val="tx1"/>
            </w14:solidFill>
          </w14:textFill>
        </w:rPr>
      </w:pPr>
    </w:p>
    <w:p>
      <w:pPr>
        <w:tabs>
          <w:tab w:val="left" w:pos="4131"/>
        </w:tabs>
        <w:ind w:firstLine="640"/>
        <w:rPr>
          <w:color w:val="000000" w:themeColor="text1"/>
          <w:szCs w:val="32"/>
          <w14:textFill>
            <w14:solidFill>
              <w14:schemeClr w14:val="tx1"/>
            </w14:solidFill>
          </w14:textFill>
        </w:rPr>
      </w:pPr>
      <w:r>
        <w:rPr>
          <w:color w:val="000000" w:themeColor="text1"/>
          <w:szCs w:val="32"/>
          <w14:textFill>
            <w14:solidFill>
              <w14:schemeClr w14:val="tx1"/>
            </w14:solidFill>
          </w14:textFill>
        </w:rPr>
        <w:tab/>
      </w:r>
    </w:p>
    <w:p>
      <w:pPr>
        <w:pStyle w:val="6"/>
        <w:ind w:firstLine="0" w:firstLineChars="0"/>
        <w:jc w:val="center"/>
        <w:rPr>
          <w:rFonts w:ascii="方正仿宋_GBK" w:eastAsia="方正仿宋_GBK"/>
          <w:sz w:val="28"/>
          <w:szCs w:val="28"/>
          <w:highlight w:val="yellow"/>
        </w:rPr>
      </w:pPr>
      <w:r>
        <w:rPr>
          <w:rFonts w:hint="eastAsia" w:ascii="方正仿宋_GBK" w:eastAsia="方正仿宋_GBK"/>
          <w:sz w:val="28"/>
          <w:szCs w:val="28"/>
        </w:rPr>
        <w:t xml:space="preserve"> </w:t>
      </w:r>
      <w:r>
        <w:rPr>
          <w:rFonts w:ascii="方正仿宋_GBK" w:eastAsia="方正仿宋_GBK"/>
          <w:sz w:val="28"/>
          <w:szCs w:val="28"/>
        </w:rPr>
        <w:t xml:space="preserve">     </w:t>
      </w:r>
      <w:r>
        <w:rPr>
          <w:rFonts w:hint="eastAsia" w:ascii="方正仿宋_GBK" w:eastAsia="方正仿宋_GBK"/>
          <w:sz w:val="28"/>
          <w:szCs w:val="28"/>
        </w:rPr>
        <w:t>表</w:t>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SEQ 表 \* ARABIC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1</w:t>
      </w:r>
      <w:r>
        <w:rPr>
          <w:rFonts w:ascii="Times New Roman" w:hAnsi="Times New Roman" w:eastAsia="方正仿宋_GBK"/>
          <w:sz w:val="28"/>
          <w:szCs w:val="28"/>
        </w:rPr>
        <w:fldChar w:fldCharType="end"/>
      </w:r>
      <w:r>
        <w:rPr>
          <w:rFonts w:hint="eastAsia" w:ascii="方正仿宋_GBK" w:eastAsia="方正仿宋_GBK"/>
          <w:sz w:val="28"/>
          <w:szCs w:val="28"/>
        </w:rPr>
        <w:t xml:space="preserve"> “十三五”期间重庆市建筑企业资质等级情况   </w:t>
      </w:r>
      <w:r>
        <w:rPr>
          <w:rFonts w:ascii="方正仿宋_GBK" w:eastAsia="方正仿宋_GBK"/>
          <w:sz w:val="28"/>
          <w:szCs w:val="28"/>
        </w:rPr>
        <w:t xml:space="preserve">  </w:t>
      </w:r>
      <w:r>
        <w:rPr>
          <w:rFonts w:hint="eastAsia" w:ascii="方正仿宋_GBK" w:eastAsia="方正仿宋_GBK"/>
          <w:sz w:val="28"/>
          <w:szCs w:val="28"/>
        </w:rPr>
        <w:t>单位：家</w:t>
      </w:r>
    </w:p>
    <w:tbl>
      <w:tblPr>
        <w:tblStyle w:val="1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2"/>
        <w:gridCol w:w="1453"/>
        <w:gridCol w:w="879"/>
        <w:gridCol w:w="1206"/>
        <w:gridCol w:w="1206"/>
        <w:gridCol w:w="1206"/>
        <w:gridCol w:w="1206"/>
        <w:gridCol w:w="12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52" w:type="pct"/>
            <w:gridSpan w:val="3"/>
            <w:vAlign w:val="center"/>
          </w:tcPr>
          <w:p>
            <w:pPr>
              <w:ind w:firstLine="0" w:firstLineChars="0"/>
              <w:jc w:val="center"/>
              <w:rPr>
                <w:sz w:val="28"/>
                <w:szCs w:val="21"/>
              </w:rPr>
            </w:pPr>
            <w:r>
              <w:rPr>
                <w:sz w:val="28"/>
                <w:szCs w:val="21"/>
              </w:rPr>
              <w:t>类别</w:t>
            </w:r>
          </w:p>
        </w:tc>
        <w:tc>
          <w:tcPr>
            <w:tcW w:w="649" w:type="pct"/>
            <w:vAlign w:val="center"/>
          </w:tcPr>
          <w:p>
            <w:pPr>
              <w:ind w:firstLine="0" w:firstLineChars="0"/>
              <w:jc w:val="center"/>
              <w:rPr>
                <w:sz w:val="28"/>
                <w:szCs w:val="21"/>
              </w:rPr>
            </w:pPr>
            <w:r>
              <w:rPr>
                <w:sz w:val="28"/>
                <w:szCs w:val="21"/>
              </w:rPr>
              <w:t>2016年</w:t>
            </w:r>
          </w:p>
        </w:tc>
        <w:tc>
          <w:tcPr>
            <w:tcW w:w="649" w:type="pct"/>
            <w:vAlign w:val="center"/>
          </w:tcPr>
          <w:p>
            <w:pPr>
              <w:ind w:firstLine="0" w:firstLineChars="0"/>
              <w:jc w:val="center"/>
              <w:rPr>
                <w:sz w:val="28"/>
                <w:szCs w:val="21"/>
              </w:rPr>
            </w:pPr>
            <w:r>
              <w:rPr>
                <w:sz w:val="28"/>
                <w:szCs w:val="21"/>
              </w:rPr>
              <w:t>2017年</w:t>
            </w:r>
          </w:p>
        </w:tc>
        <w:tc>
          <w:tcPr>
            <w:tcW w:w="649" w:type="pct"/>
            <w:vAlign w:val="center"/>
          </w:tcPr>
          <w:p>
            <w:pPr>
              <w:ind w:firstLine="0" w:firstLineChars="0"/>
              <w:jc w:val="center"/>
              <w:rPr>
                <w:sz w:val="28"/>
                <w:szCs w:val="21"/>
              </w:rPr>
            </w:pPr>
            <w:r>
              <w:rPr>
                <w:sz w:val="28"/>
                <w:szCs w:val="21"/>
              </w:rPr>
              <w:t>2018年</w:t>
            </w:r>
          </w:p>
        </w:tc>
        <w:tc>
          <w:tcPr>
            <w:tcW w:w="649" w:type="pct"/>
            <w:vAlign w:val="center"/>
          </w:tcPr>
          <w:p>
            <w:pPr>
              <w:ind w:firstLine="0" w:firstLineChars="0"/>
              <w:jc w:val="center"/>
              <w:rPr>
                <w:sz w:val="28"/>
                <w:szCs w:val="21"/>
              </w:rPr>
            </w:pPr>
            <w:r>
              <w:rPr>
                <w:sz w:val="28"/>
                <w:szCs w:val="21"/>
              </w:rPr>
              <w:t>2019年</w:t>
            </w:r>
          </w:p>
        </w:tc>
        <w:tc>
          <w:tcPr>
            <w:tcW w:w="650" w:type="pct"/>
            <w:vAlign w:val="center"/>
          </w:tcPr>
          <w:p>
            <w:pPr>
              <w:ind w:firstLine="0" w:firstLineChars="0"/>
              <w:jc w:val="center"/>
              <w:rPr>
                <w:sz w:val="28"/>
                <w:szCs w:val="21"/>
              </w:rPr>
            </w:pPr>
            <w:r>
              <w:rPr>
                <w:sz w:val="28"/>
                <w:szCs w:val="21"/>
              </w:rPr>
              <w:t>2020年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7" w:type="pct"/>
            <w:vMerge w:val="restart"/>
            <w:vAlign w:val="center"/>
          </w:tcPr>
          <w:p>
            <w:pPr>
              <w:ind w:firstLine="0" w:firstLineChars="0"/>
              <w:jc w:val="center"/>
              <w:rPr>
                <w:sz w:val="28"/>
                <w:szCs w:val="21"/>
              </w:rPr>
            </w:pPr>
            <w:r>
              <w:rPr>
                <w:sz w:val="28"/>
                <w:szCs w:val="21"/>
              </w:rPr>
              <w:t>施工资质</w:t>
            </w:r>
          </w:p>
        </w:tc>
        <w:tc>
          <w:tcPr>
            <w:tcW w:w="782" w:type="pct"/>
            <w:vMerge w:val="restart"/>
            <w:vAlign w:val="center"/>
          </w:tcPr>
          <w:p>
            <w:pPr>
              <w:ind w:firstLine="0" w:firstLineChars="0"/>
              <w:jc w:val="center"/>
              <w:rPr>
                <w:sz w:val="28"/>
                <w:szCs w:val="21"/>
              </w:rPr>
            </w:pPr>
            <w:r>
              <w:rPr>
                <w:sz w:val="28"/>
                <w:szCs w:val="21"/>
              </w:rPr>
              <w:t>施工总承包</w:t>
            </w:r>
          </w:p>
        </w:tc>
        <w:tc>
          <w:tcPr>
            <w:tcW w:w="473" w:type="pct"/>
            <w:vAlign w:val="center"/>
          </w:tcPr>
          <w:p>
            <w:pPr>
              <w:ind w:firstLine="0" w:firstLineChars="0"/>
              <w:jc w:val="center"/>
              <w:rPr>
                <w:sz w:val="28"/>
                <w:szCs w:val="21"/>
              </w:rPr>
            </w:pPr>
            <w:r>
              <w:rPr>
                <w:sz w:val="28"/>
                <w:szCs w:val="21"/>
              </w:rPr>
              <w:t>特级</w:t>
            </w:r>
          </w:p>
        </w:tc>
        <w:tc>
          <w:tcPr>
            <w:tcW w:w="649" w:type="pct"/>
            <w:vAlign w:val="center"/>
          </w:tcPr>
          <w:p>
            <w:pPr>
              <w:ind w:firstLine="0" w:firstLineChars="0"/>
              <w:jc w:val="center"/>
              <w:rPr>
                <w:sz w:val="28"/>
                <w:szCs w:val="21"/>
              </w:rPr>
            </w:pPr>
            <w:r>
              <w:rPr>
                <w:sz w:val="28"/>
                <w:szCs w:val="21"/>
              </w:rPr>
              <w:t>4</w:t>
            </w:r>
          </w:p>
        </w:tc>
        <w:tc>
          <w:tcPr>
            <w:tcW w:w="649" w:type="pct"/>
            <w:vAlign w:val="center"/>
          </w:tcPr>
          <w:p>
            <w:pPr>
              <w:ind w:firstLine="0" w:firstLineChars="0"/>
              <w:jc w:val="center"/>
              <w:rPr>
                <w:sz w:val="28"/>
                <w:szCs w:val="21"/>
              </w:rPr>
            </w:pPr>
            <w:r>
              <w:rPr>
                <w:sz w:val="28"/>
                <w:szCs w:val="21"/>
              </w:rPr>
              <w:t>5</w:t>
            </w:r>
          </w:p>
        </w:tc>
        <w:tc>
          <w:tcPr>
            <w:tcW w:w="649" w:type="pct"/>
            <w:vAlign w:val="center"/>
          </w:tcPr>
          <w:p>
            <w:pPr>
              <w:ind w:firstLine="0" w:firstLineChars="0"/>
              <w:jc w:val="center"/>
              <w:rPr>
                <w:sz w:val="28"/>
                <w:szCs w:val="21"/>
              </w:rPr>
            </w:pPr>
            <w:r>
              <w:rPr>
                <w:sz w:val="28"/>
                <w:szCs w:val="21"/>
              </w:rPr>
              <w:t>8</w:t>
            </w:r>
          </w:p>
        </w:tc>
        <w:tc>
          <w:tcPr>
            <w:tcW w:w="649" w:type="pct"/>
            <w:vAlign w:val="center"/>
          </w:tcPr>
          <w:p>
            <w:pPr>
              <w:ind w:firstLine="0" w:firstLineChars="0"/>
              <w:jc w:val="center"/>
              <w:rPr>
                <w:sz w:val="28"/>
                <w:szCs w:val="21"/>
              </w:rPr>
            </w:pPr>
            <w:r>
              <w:rPr>
                <w:sz w:val="28"/>
                <w:szCs w:val="21"/>
              </w:rPr>
              <w:t>9</w:t>
            </w:r>
          </w:p>
        </w:tc>
        <w:tc>
          <w:tcPr>
            <w:tcW w:w="650" w:type="pct"/>
            <w:vAlign w:val="center"/>
          </w:tcPr>
          <w:p>
            <w:pPr>
              <w:ind w:firstLine="0" w:firstLineChars="0"/>
              <w:jc w:val="center"/>
              <w:rPr>
                <w:sz w:val="28"/>
                <w:szCs w:val="21"/>
              </w:rPr>
            </w:pPr>
            <w:r>
              <w:rPr>
                <w:sz w:val="28"/>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7" w:type="pct"/>
            <w:vMerge w:val="continue"/>
            <w:vAlign w:val="center"/>
          </w:tcPr>
          <w:p>
            <w:pPr>
              <w:ind w:firstLine="0" w:firstLineChars="0"/>
              <w:jc w:val="center"/>
              <w:rPr>
                <w:sz w:val="28"/>
                <w:szCs w:val="21"/>
              </w:rPr>
            </w:pPr>
          </w:p>
        </w:tc>
        <w:tc>
          <w:tcPr>
            <w:tcW w:w="782" w:type="pct"/>
            <w:vMerge w:val="continue"/>
            <w:vAlign w:val="center"/>
          </w:tcPr>
          <w:p>
            <w:pPr>
              <w:ind w:firstLine="0" w:firstLineChars="0"/>
              <w:jc w:val="center"/>
              <w:rPr>
                <w:sz w:val="28"/>
                <w:szCs w:val="21"/>
              </w:rPr>
            </w:pPr>
          </w:p>
        </w:tc>
        <w:tc>
          <w:tcPr>
            <w:tcW w:w="473" w:type="pct"/>
            <w:vAlign w:val="center"/>
          </w:tcPr>
          <w:p>
            <w:pPr>
              <w:ind w:firstLine="0" w:firstLineChars="0"/>
              <w:jc w:val="center"/>
              <w:rPr>
                <w:sz w:val="28"/>
                <w:szCs w:val="21"/>
              </w:rPr>
            </w:pPr>
            <w:r>
              <w:rPr>
                <w:sz w:val="28"/>
                <w:szCs w:val="21"/>
              </w:rPr>
              <w:t>一级</w:t>
            </w:r>
          </w:p>
        </w:tc>
        <w:tc>
          <w:tcPr>
            <w:tcW w:w="649" w:type="pct"/>
            <w:vAlign w:val="center"/>
          </w:tcPr>
          <w:p>
            <w:pPr>
              <w:ind w:firstLine="0" w:firstLineChars="0"/>
              <w:jc w:val="center"/>
              <w:rPr>
                <w:sz w:val="28"/>
                <w:szCs w:val="21"/>
              </w:rPr>
            </w:pPr>
            <w:r>
              <w:rPr>
                <w:sz w:val="28"/>
                <w:szCs w:val="21"/>
              </w:rPr>
              <w:t>286</w:t>
            </w:r>
          </w:p>
        </w:tc>
        <w:tc>
          <w:tcPr>
            <w:tcW w:w="649" w:type="pct"/>
            <w:vAlign w:val="center"/>
          </w:tcPr>
          <w:p>
            <w:pPr>
              <w:ind w:firstLine="0" w:firstLineChars="0"/>
              <w:jc w:val="center"/>
              <w:rPr>
                <w:sz w:val="28"/>
                <w:szCs w:val="21"/>
              </w:rPr>
            </w:pPr>
            <w:r>
              <w:rPr>
                <w:sz w:val="28"/>
                <w:szCs w:val="21"/>
              </w:rPr>
              <w:t>295</w:t>
            </w:r>
          </w:p>
        </w:tc>
        <w:tc>
          <w:tcPr>
            <w:tcW w:w="649" w:type="pct"/>
            <w:vAlign w:val="center"/>
          </w:tcPr>
          <w:p>
            <w:pPr>
              <w:ind w:firstLine="0" w:firstLineChars="0"/>
              <w:jc w:val="center"/>
              <w:rPr>
                <w:sz w:val="28"/>
                <w:szCs w:val="21"/>
              </w:rPr>
            </w:pPr>
            <w:r>
              <w:rPr>
                <w:sz w:val="28"/>
                <w:szCs w:val="21"/>
              </w:rPr>
              <w:t>302</w:t>
            </w:r>
          </w:p>
        </w:tc>
        <w:tc>
          <w:tcPr>
            <w:tcW w:w="649" w:type="pct"/>
            <w:vAlign w:val="center"/>
          </w:tcPr>
          <w:p>
            <w:pPr>
              <w:ind w:firstLine="0" w:firstLineChars="0"/>
              <w:jc w:val="center"/>
              <w:rPr>
                <w:sz w:val="28"/>
                <w:szCs w:val="21"/>
              </w:rPr>
            </w:pPr>
            <w:r>
              <w:rPr>
                <w:sz w:val="28"/>
                <w:szCs w:val="21"/>
              </w:rPr>
              <w:t>319</w:t>
            </w:r>
          </w:p>
        </w:tc>
        <w:tc>
          <w:tcPr>
            <w:tcW w:w="650" w:type="pct"/>
            <w:vAlign w:val="center"/>
          </w:tcPr>
          <w:p>
            <w:pPr>
              <w:ind w:firstLine="0" w:firstLineChars="0"/>
              <w:jc w:val="center"/>
              <w:rPr>
                <w:sz w:val="28"/>
                <w:szCs w:val="21"/>
              </w:rPr>
            </w:pPr>
            <w:r>
              <w:rPr>
                <w:rFonts w:hint="eastAsia"/>
                <w:sz w:val="28"/>
                <w:szCs w:val="21"/>
              </w:rPr>
              <w:t>3</w:t>
            </w:r>
            <w:r>
              <w:rPr>
                <w:sz w:val="28"/>
                <w:szCs w:val="21"/>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4" w:hRule="atLeast"/>
        </w:trPr>
        <w:tc>
          <w:tcPr>
            <w:tcW w:w="497" w:type="pct"/>
            <w:vMerge w:val="continue"/>
            <w:vAlign w:val="center"/>
          </w:tcPr>
          <w:p>
            <w:pPr>
              <w:ind w:firstLine="0" w:firstLineChars="0"/>
              <w:jc w:val="center"/>
              <w:rPr>
                <w:sz w:val="28"/>
                <w:szCs w:val="21"/>
              </w:rPr>
            </w:pPr>
          </w:p>
        </w:tc>
        <w:tc>
          <w:tcPr>
            <w:tcW w:w="782" w:type="pct"/>
            <w:vMerge w:val="continue"/>
            <w:vAlign w:val="center"/>
          </w:tcPr>
          <w:p>
            <w:pPr>
              <w:ind w:firstLine="0" w:firstLineChars="0"/>
              <w:jc w:val="center"/>
              <w:rPr>
                <w:sz w:val="28"/>
                <w:szCs w:val="21"/>
              </w:rPr>
            </w:pPr>
          </w:p>
        </w:tc>
        <w:tc>
          <w:tcPr>
            <w:tcW w:w="473" w:type="pct"/>
            <w:vAlign w:val="center"/>
          </w:tcPr>
          <w:p>
            <w:pPr>
              <w:ind w:firstLine="0" w:firstLineChars="0"/>
              <w:jc w:val="center"/>
              <w:rPr>
                <w:sz w:val="28"/>
                <w:szCs w:val="21"/>
              </w:rPr>
            </w:pPr>
            <w:r>
              <w:rPr>
                <w:sz w:val="28"/>
                <w:szCs w:val="21"/>
              </w:rPr>
              <w:t>二级</w:t>
            </w:r>
          </w:p>
        </w:tc>
        <w:tc>
          <w:tcPr>
            <w:tcW w:w="649" w:type="pct"/>
            <w:vAlign w:val="center"/>
          </w:tcPr>
          <w:p>
            <w:pPr>
              <w:ind w:firstLine="0" w:firstLineChars="0"/>
              <w:jc w:val="center"/>
              <w:rPr>
                <w:sz w:val="28"/>
                <w:szCs w:val="21"/>
              </w:rPr>
            </w:pPr>
            <w:r>
              <w:rPr>
                <w:sz w:val="28"/>
                <w:szCs w:val="21"/>
              </w:rPr>
              <w:t>754</w:t>
            </w:r>
          </w:p>
        </w:tc>
        <w:tc>
          <w:tcPr>
            <w:tcW w:w="649" w:type="pct"/>
            <w:vAlign w:val="center"/>
          </w:tcPr>
          <w:p>
            <w:pPr>
              <w:ind w:firstLine="0" w:firstLineChars="0"/>
              <w:jc w:val="center"/>
              <w:rPr>
                <w:sz w:val="28"/>
                <w:szCs w:val="21"/>
              </w:rPr>
            </w:pPr>
            <w:r>
              <w:rPr>
                <w:sz w:val="28"/>
                <w:szCs w:val="21"/>
              </w:rPr>
              <w:t>764</w:t>
            </w:r>
          </w:p>
        </w:tc>
        <w:tc>
          <w:tcPr>
            <w:tcW w:w="649" w:type="pct"/>
            <w:vAlign w:val="center"/>
          </w:tcPr>
          <w:p>
            <w:pPr>
              <w:ind w:firstLine="0" w:firstLineChars="0"/>
              <w:jc w:val="center"/>
              <w:rPr>
                <w:sz w:val="28"/>
                <w:szCs w:val="21"/>
              </w:rPr>
            </w:pPr>
            <w:r>
              <w:rPr>
                <w:sz w:val="28"/>
                <w:szCs w:val="21"/>
              </w:rPr>
              <w:t>806</w:t>
            </w:r>
          </w:p>
        </w:tc>
        <w:tc>
          <w:tcPr>
            <w:tcW w:w="649" w:type="pct"/>
            <w:vAlign w:val="center"/>
          </w:tcPr>
          <w:p>
            <w:pPr>
              <w:ind w:firstLine="0" w:firstLineChars="0"/>
              <w:jc w:val="center"/>
              <w:rPr>
                <w:sz w:val="28"/>
                <w:szCs w:val="21"/>
              </w:rPr>
            </w:pPr>
            <w:r>
              <w:rPr>
                <w:sz w:val="28"/>
                <w:szCs w:val="21"/>
              </w:rPr>
              <w:t>827</w:t>
            </w:r>
          </w:p>
        </w:tc>
        <w:tc>
          <w:tcPr>
            <w:tcW w:w="650" w:type="pct"/>
            <w:vAlign w:val="center"/>
          </w:tcPr>
          <w:p>
            <w:pPr>
              <w:ind w:firstLine="0" w:firstLineChars="0"/>
              <w:jc w:val="center"/>
              <w:rPr>
                <w:sz w:val="28"/>
                <w:szCs w:val="21"/>
              </w:rPr>
            </w:pPr>
            <w:r>
              <w:rPr>
                <w:rFonts w:hint="eastAsia"/>
                <w:sz w:val="28"/>
                <w:szCs w:val="21"/>
              </w:rPr>
              <w:t>8</w:t>
            </w:r>
            <w:r>
              <w:rPr>
                <w:sz w:val="28"/>
                <w:szCs w:val="21"/>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7" w:type="pct"/>
            <w:vMerge w:val="continue"/>
            <w:vAlign w:val="center"/>
          </w:tcPr>
          <w:p>
            <w:pPr>
              <w:ind w:firstLine="0" w:firstLineChars="0"/>
              <w:jc w:val="center"/>
              <w:rPr>
                <w:sz w:val="28"/>
                <w:szCs w:val="21"/>
              </w:rPr>
            </w:pPr>
          </w:p>
        </w:tc>
        <w:tc>
          <w:tcPr>
            <w:tcW w:w="782" w:type="pct"/>
            <w:vMerge w:val="continue"/>
            <w:vAlign w:val="center"/>
          </w:tcPr>
          <w:p>
            <w:pPr>
              <w:ind w:firstLine="0" w:firstLineChars="0"/>
              <w:jc w:val="center"/>
              <w:rPr>
                <w:sz w:val="28"/>
                <w:szCs w:val="21"/>
              </w:rPr>
            </w:pPr>
          </w:p>
        </w:tc>
        <w:tc>
          <w:tcPr>
            <w:tcW w:w="473" w:type="pct"/>
            <w:vAlign w:val="center"/>
          </w:tcPr>
          <w:p>
            <w:pPr>
              <w:ind w:firstLine="0" w:firstLineChars="0"/>
              <w:jc w:val="center"/>
              <w:rPr>
                <w:sz w:val="28"/>
                <w:szCs w:val="21"/>
              </w:rPr>
            </w:pPr>
            <w:r>
              <w:rPr>
                <w:sz w:val="28"/>
                <w:szCs w:val="21"/>
              </w:rPr>
              <w:t>三级</w:t>
            </w:r>
          </w:p>
        </w:tc>
        <w:tc>
          <w:tcPr>
            <w:tcW w:w="649" w:type="pct"/>
            <w:vAlign w:val="center"/>
          </w:tcPr>
          <w:p>
            <w:pPr>
              <w:ind w:firstLine="0" w:firstLineChars="0"/>
              <w:jc w:val="center"/>
              <w:rPr>
                <w:sz w:val="28"/>
                <w:szCs w:val="21"/>
              </w:rPr>
            </w:pPr>
            <w:r>
              <w:rPr>
                <w:sz w:val="28"/>
                <w:szCs w:val="21"/>
              </w:rPr>
              <w:t>1431</w:t>
            </w:r>
          </w:p>
        </w:tc>
        <w:tc>
          <w:tcPr>
            <w:tcW w:w="649" w:type="pct"/>
            <w:vAlign w:val="center"/>
          </w:tcPr>
          <w:p>
            <w:pPr>
              <w:ind w:firstLine="0" w:firstLineChars="0"/>
              <w:jc w:val="center"/>
              <w:rPr>
                <w:sz w:val="28"/>
                <w:szCs w:val="21"/>
              </w:rPr>
            </w:pPr>
            <w:r>
              <w:rPr>
                <w:sz w:val="28"/>
                <w:szCs w:val="21"/>
              </w:rPr>
              <w:t>1905</w:t>
            </w:r>
          </w:p>
        </w:tc>
        <w:tc>
          <w:tcPr>
            <w:tcW w:w="649" w:type="pct"/>
            <w:vAlign w:val="center"/>
          </w:tcPr>
          <w:p>
            <w:pPr>
              <w:ind w:firstLine="0" w:firstLineChars="0"/>
              <w:jc w:val="center"/>
              <w:rPr>
                <w:sz w:val="28"/>
                <w:szCs w:val="21"/>
              </w:rPr>
            </w:pPr>
            <w:r>
              <w:rPr>
                <w:sz w:val="28"/>
                <w:szCs w:val="21"/>
              </w:rPr>
              <w:t>2427</w:t>
            </w:r>
          </w:p>
        </w:tc>
        <w:tc>
          <w:tcPr>
            <w:tcW w:w="649" w:type="pct"/>
            <w:vAlign w:val="center"/>
          </w:tcPr>
          <w:p>
            <w:pPr>
              <w:ind w:firstLine="0" w:firstLineChars="0"/>
              <w:jc w:val="center"/>
              <w:rPr>
                <w:sz w:val="28"/>
                <w:szCs w:val="21"/>
              </w:rPr>
            </w:pPr>
            <w:r>
              <w:rPr>
                <w:sz w:val="28"/>
                <w:szCs w:val="21"/>
              </w:rPr>
              <w:t>2107</w:t>
            </w:r>
          </w:p>
        </w:tc>
        <w:tc>
          <w:tcPr>
            <w:tcW w:w="650" w:type="pct"/>
            <w:vAlign w:val="center"/>
          </w:tcPr>
          <w:p>
            <w:pPr>
              <w:ind w:firstLine="0" w:firstLineChars="0"/>
              <w:jc w:val="center"/>
              <w:rPr>
                <w:sz w:val="28"/>
                <w:szCs w:val="21"/>
              </w:rPr>
            </w:pPr>
            <w:r>
              <w:rPr>
                <w:rFonts w:hint="eastAsia"/>
                <w:sz w:val="28"/>
                <w:szCs w:val="21"/>
              </w:rPr>
              <w:t>2</w:t>
            </w:r>
            <w:r>
              <w:rPr>
                <w:sz w:val="28"/>
                <w:szCs w:val="21"/>
              </w:rPr>
              <w:t>621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7" w:type="pct"/>
            <w:vMerge w:val="continue"/>
            <w:vAlign w:val="center"/>
          </w:tcPr>
          <w:p>
            <w:pPr>
              <w:ind w:firstLine="0" w:firstLineChars="0"/>
              <w:jc w:val="center"/>
              <w:rPr>
                <w:sz w:val="28"/>
                <w:szCs w:val="21"/>
              </w:rPr>
            </w:pPr>
          </w:p>
        </w:tc>
        <w:tc>
          <w:tcPr>
            <w:tcW w:w="782" w:type="pct"/>
            <w:vMerge w:val="restart"/>
            <w:vAlign w:val="center"/>
          </w:tcPr>
          <w:p>
            <w:pPr>
              <w:ind w:firstLine="0" w:firstLineChars="0"/>
              <w:jc w:val="center"/>
              <w:rPr>
                <w:sz w:val="28"/>
                <w:szCs w:val="21"/>
              </w:rPr>
            </w:pPr>
            <w:r>
              <w:rPr>
                <w:sz w:val="28"/>
                <w:szCs w:val="21"/>
              </w:rPr>
              <w:t>专业承包</w:t>
            </w:r>
          </w:p>
        </w:tc>
        <w:tc>
          <w:tcPr>
            <w:tcW w:w="473" w:type="pct"/>
            <w:vAlign w:val="center"/>
          </w:tcPr>
          <w:p>
            <w:pPr>
              <w:ind w:firstLine="0" w:firstLineChars="0"/>
              <w:jc w:val="center"/>
              <w:rPr>
                <w:sz w:val="28"/>
                <w:szCs w:val="21"/>
              </w:rPr>
            </w:pPr>
            <w:r>
              <w:rPr>
                <w:sz w:val="28"/>
                <w:szCs w:val="21"/>
              </w:rPr>
              <w:t>一级</w:t>
            </w:r>
          </w:p>
        </w:tc>
        <w:tc>
          <w:tcPr>
            <w:tcW w:w="649" w:type="pct"/>
            <w:vAlign w:val="center"/>
          </w:tcPr>
          <w:p>
            <w:pPr>
              <w:ind w:firstLine="0" w:firstLineChars="0"/>
              <w:jc w:val="center"/>
              <w:rPr>
                <w:sz w:val="28"/>
                <w:szCs w:val="21"/>
              </w:rPr>
            </w:pPr>
            <w:r>
              <w:rPr>
                <w:sz w:val="28"/>
                <w:szCs w:val="21"/>
              </w:rPr>
              <w:t>143</w:t>
            </w:r>
          </w:p>
        </w:tc>
        <w:tc>
          <w:tcPr>
            <w:tcW w:w="649" w:type="pct"/>
            <w:vAlign w:val="center"/>
          </w:tcPr>
          <w:p>
            <w:pPr>
              <w:ind w:firstLine="0" w:firstLineChars="0"/>
              <w:jc w:val="center"/>
              <w:rPr>
                <w:sz w:val="28"/>
                <w:szCs w:val="21"/>
              </w:rPr>
            </w:pPr>
            <w:r>
              <w:rPr>
                <w:sz w:val="28"/>
                <w:szCs w:val="21"/>
              </w:rPr>
              <w:t>149</w:t>
            </w:r>
          </w:p>
        </w:tc>
        <w:tc>
          <w:tcPr>
            <w:tcW w:w="649" w:type="pct"/>
            <w:vAlign w:val="center"/>
          </w:tcPr>
          <w:p>
            <w:pPr>
              <w:ind w:firstLine="0" w:firstLineChars="0"/>
              <w:jc w:val="center"/>
              <w:rPr>
                <w:sz w:val="28"/>
                <w:szCs w:val="21"/>
              </w:rPr>
            </w:pPr>
            <w:r>
              <w:rPr>
                <w:sz w:val="28"/>
                <w:szCs w:val="21"/>
              </w:rPr>
              <w:t>172</w:t>
            </w:r>
          </w:p>
        </w:tc>
        <w:tc>
          <w:tcPr>
            <w:tcW w:w="649" w:type="pct"/>
            <w:vAlign w:val="center"/>
          </w:tcPr>
          <w:p>
            <w:pPr>
              <w:ind w:firstLine="0" w:firstLineChars="0"/>
              <w:jc w:val="center"/>
              <w:rPr>
                <w:sz w:val="28"/>
                <w:szCs w:val="21"/>
              </w:rPr>
            </w:pPr>
            <w:r>
              <w:rPr>
                <w:sz w:val="28"/>
                <w:szCs w:val="21"/>
              </w:rPr>
              <w:t>331</w:t>
            </w:r>
          </w:p>
        </w:tc>
        <w:tc>
          <w:tcPr>
            <w:tcW w:w="650" w:type="pct"/>
            <w:vAlign w:val="center"/>
          </w:tcPr>
          <w:p>
            <w:pPr>
              <w:ind w:firstLine="0" w:firstLineChars="0"/>
              <w:jc w:val="center"/>
              <w:rPr>
                <w:sz w:val="28"/>
                <w:szCs w:val="21"/>
              </w:rPr>
            </w:pPr>
            <w:r>
              <w:rPr>
                <w:sz w:val="28"/>
                <w:szCs w:val="21"/>
              </w:rPr>
              <w:t>423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7" w:type="pct"/>
            <w:vMerge w:val="continue"/>
            <w:vAlign w:val="center"/>
          </w:tcPr>
          <w:p>
            <w:pPr>
              <w:ind w:firstLine="0" w:firstLineChars="0"/>
              <w:jc w:val="center"/>
              <w:rPr>
                <w:sz w:val="28"/>
                <w:szCs w:val="21"/>
              </w:rPr>
            </w:pPr>
          </w:p>
        </w:tc>
        <w:tc>
          <w:tcPr>
            <w:tcW w:w="782" w:type="pct"/>
            <w:vMerge w:val="continue"/>
            <w:vAlign w:val="center"/>
          </w:tcPr>
          <w:p>
            <w:pPr>
              <w:ind w:firstLine="0" w:firstLineChars="0"/>
              <w:jc w:val="center"/>
              <w:rPr>
                <w:sz w:val="28"/>
                <w:szCs w:val="21"/>
              </w:rPr>
            </w:pPr>
          </w:p>
        </w:tc>
        <w:tc>
          <w:tcPr>
            <w:tcW w:w="473" w:type="pct"/>
            <w:vAlign w:val="center"/>
          </w:tcPr>
          <w:p>
            <w:pPr>
              <w:ind w:firstLine="0" w:firstLineChars="0"/>
              <w:jc w:val="center"/>
              <w:rPr>
                <w:sz w:val="28"/>
                <w:szCs w:val="21"/>
              </w:rPr>
            </w:pPr>
            <w:r>
              <w:rPr>
                <w:sz w:val="28"/>
                <w:szCs w:val="21"/>
              </w:rPr>
              <w:t>二级</w:t>
            </w:r>
          </w:p>
        </w:tc>
        <w:tc>
          <w:tcPr>
            <w:tcW w:w="649" w:type="pct"/>
            <w:vAlign w:val="center"/>
          </w:tcPr>
          <w:p>
            <w:pPr>
              <w:ind w:firstLine="0" w:firstLineChars="0"/>
              <w:jc w:val="center"/>
              <w:rPr>
                <w:sz w:val="28"/>
                <w:szCs w:val="21"/>
              </w:rPr>
            </w:pPr>
            <w:r>
              <w:rPr>
                <w:sz w:val="28"/>
                <w:szCs w:val="21"/>
              </w:rPr>
              <w:t>1489</w:t>
            </w:r>
          </w:p>
        </w:tc>
        <w:tc>
          <w:tcPr>
            <w:tcW w:w="649" w:type="pct"/>
            <w:vAlign w:val="center"/>
          </w:tcPr>
          <w:p>
            <w:pPr>
              <w:ind w:firstLine="0" w:firstLineChars="0"/>
              <w:jc w:val="center"/>
              <w:rPr>
                <w:sz w:val="28"/>
                <w:szCs w:val="21"/>
              </w:rPr>
            </w:pPr>
            <w:r>
              <w:rPr>
                <w:sz w:val="28"/>
                <w:szCs w:val="21"/>
              </w:rPr>
              <w:t>1565</w:t>
            </w:r>
          </w:p>
        </w:tc>
        <w:tc>
          <w:tcPr>
            <w:tcW w:w="649" w:type="pct"/>
            <w:vAlign w:val="center"/>
          </w:tcPr>
          <w:p>
            <w:pPr>
              <w:ind w:firstLine="0" w:firstLineChars="0"/>
              <w:jc w:val="center"/>
              <w:rPr>
                <w:sz w:val="28"/>
                <w:szCs w:val="21"/>
              </w:rPr>
            </w:pPr>
            <w:r>
              <w:rPr>
                <w:sz w:val="28"/>
                <w:szCs w:val="21"/>
              </w:rPr>
              <w:t>1700</w:t>
            </w:r>
          </w:p>
        </w:tc>
        <w:tc>
          <w:tcPr>
            <w:tcW w:w="649" w:type="pct"/>
            <w:vAlign w:val="center"/>
          </w:tcPr>
          <w:p>
            <w:pPr>
              <w:ind w:firstLine="0" w:firstLineChars="0"/>
              <w:jc w:val="center"/>
              <w:rPr>
                <w:sz w:val="28"/>
                <w:szCs w:val="21"/>
              </w:rPr>
            </w:pPr>
            <w:r>
              <w:rPr>
                <w:sz w:val="28"/>
                <w:szCs w:val="21"/>
              </w:rPr>
              <w:t>2646</w:t>
            </w:r>
          </w:p>
        </w:tc>
        <w:tc>
          <w:tcPr>
            <w:tcW w:w="650" w:type="pct"/>
            <w:vAlign w:val="center"/>
          </w:tcPr>
          <w:p>
            <w:pPr>
              <w:ind w:firstLine="0" w:firstLineChars="0"/>
              <w:jc w:val="center"/>
              <w:rPr>
                <w:sz w:val="28"/>
                <w:szCs w:val="21"/>
              </w:rPr>
            </w:pPr>
            <w:r>
              <w:rPr>
                <w:rFonts w:hint="eastAsia"/>
                <w:sz w:val="28"/>
                <w:szCs w:val="21"/>
              </w:rPr>
              <w:t>3</w:t>
            </w:r>
            <w:r>
              <w:rPr>
                <w:sz w:val="28"/>
                <w:szCs w:val="21"/>
              </w:rPr>
              <w:t>376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7" w:type="pct"/>
            <w:vMerge w:val="continue"/>
            <w:vAlign w:val="center"/>
          </w:tcPr>
          <w:p>
            <w:pPr>
              <w:ind w:firstLine="0" w:firstLineChars="0"/>
              <w:jc w:val="center"/>
              <w:rPr>
                <w:sz w:val="28"/>
                <w:szCs w:val="21"/>
              </w:rPr>
            </w:pPr>
          </w:p>
        </w:tc>
        <w:tc>
          <w:tcPr>
            <w:tcW w:w="782" w:type="pct"/>
            <w:vMerge w:val="continue"/>
            <w:vAlign w:val="center"/>
          </w:tcPr>
          <w:p>
            <w:pPr>
              <w:ind w:firstLine="0" w:firstLineChars="0"/>
              <w:jc w:val="center"/>
              <w:rPr>
                <w:sz w:val="28"/>
                <w:szCs w:val="21"/>
              </w:rPr>
            </w:pPr>
          </w:p>
        </w:tc>
        <w:tc>
          <w:tcPr>
            <w:tcW w:w="473" w:type="pct"/>
            <w:vAlign w:val="center"/>
          </w:tcPr>
          <w:p>
            <w:pPr>
              <w:ind w:firstLine="0" w:firstLineChars="0"/>
              <w:jc w:val="center"/>
              <w:rPr>
                <w:sz w:val="28"/>
                <w:szCs w:val="21"/>
              </w:rPr>
            </w:pPr>
            <w:r>
              <w:rPr>
                <w:sz w:val="28"/>
                <w:szCs w:val="21"/>
              </w:rPr>
              <w:t>三级</w:t>
            </w:r>
          </w:p>
        </w:tc>
        <w:tc>
          <w:tcPr>
            <w:tcW w:w="649" w:type="pct"/>
            <w:vAlign w:val="center"/>
          </w:tcPr>
          <w:p>
            <w:pPr>
              <w:ind w:firstLine="0" w:firstLineChars="0"/>
              <w:jc w:val="center"/>
              <w:rPr>
                <w:sz w:val="28"/>
                <w:szCs w:val="21"/>
              </w:rPr>
            </w:pPr>
            <w:r>
              <w:rPr>
                <w:sz w:val="28"/>
                <w:szCs w:val="21"/>
              </w:rPr>
              <w:t>645</w:t>
            </w:r>
          </w:p>
        </w:tc>
        <w:tc>
          <w:tcPr>
            <w:tcW w:w="649" w:type="pct"/>
            <w:vAlign w:val="center"/>
          </w:tcPr>
          <w:p>
            <w:pPr>
              <w:ind w:firstLine="0" w:firstLineChars="0"/>
              <w:jc w:val="center"/>
              <w:rPr>
                <w:sz w:val="28"/>
                <w:szCs w:val="21"/>
              </w:rPr>
            </w:pPr>
            <w:r>
              <w:rPr>
                <w:sz w:val="28"/>
                <w:szCs w:val="21"/>
              </w:rPr>
              <w:t>730</w:t>
            </w:r>
          </w:p>
        </w:tc>
        <w:tc>
          <w:tcPr>
            <w:tcW w:w="649" w:type="pct"/>
            <w:vAlign w:val="center"/>
          </w:tcPr>
          <w:p>
            <w:pPr>
              <w:ind w:firstLine="0" w:firstLineChars="0"/>
              <w:jc w:val="center"/>
              <w:rPr>
                <w:sz w:val="28"/>
                <w:szCs w:val="21"/>
              </w:rPr>
            </w:pPr>
            <w:r>
              <w:rPr>
                <w:sz w:val="28"/>
                <w:szCs w:val="21"/>
              </w:rPr>
              <w:t>812</w:t>
            </w:r>
          </w:p>
        </w:tc>
        <w:tc>
          <w:tcPr>
            <w:tcW w:w="649" w:type="pct"/>
            <w:vAlign w:val="center"/>
          </w:tcPr>
          <w:p>
            <w:pPr>
              <w:ind w:firstLine="0" w:firstLineChars="0"/>
              <w:jc w:val="center"/>
              <w:rPr>
                <w:sz w:val="28"/>
                <w:szCs w:val="21"/>
              </w:rPr>
            </w:pPr>
            <w:r>
              <w:rPr>
                <w:sz w:val="28"/>
                <w:szCs w:val="21"/>
              </w:rPr>
              <w:t>881</w:t>
            </w:r>
          </w:p>
        </w:tc>
        <w:tc>
          <w:tcPr>
            <w:tcW w:w="650" w:type="pct"/>
            <w:vAlign w:val="center"/>
          </w:tcPr>
          <w:p>
            <w:pPr>
              <w:ind w:firstLine="0" w:firstLineChars="0"/>
              <w:jc w:val="center"/>
              <w:rPr>
                <w:sz w:val="28"/>
                <w:szCs w:val="21"/>
              </w:rPr>
            </w:pPr>
            <w:r>
              <w:rPr>
                <w:rFonts w:hint="eastAsia"/>
                <w:sz w:val="28"/>
                <w:szCs w:val="21"/>
              </w:rPr>
              <w:t>9</w:t>
            </w:r>
            <w:r>
              <w:rPr>
                <w:sz w:val="28"/>
                <w:szCs w:val="21"/>
              </w:rPr>
              <w:t>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7" w:type="pct"/>
            <w:vMerge w:val="restart"/>
            <w:vAlign w:val="center"/>
          </w:tcPr>
          <w:p>
            <w:pPr>
              <w:ind w:firstLine="0" w:firstLineChars="0"/>
              <w:jc w:val="center"/>
              <w:rPr>
                <w:sz w:val="28"/>
                <w:szCs w:val="21"/>
              </w:rPr>
            </w:pPr>
            <w:r>
              <w:rPr>
                <w:sz w:val="28"/>
                <w:szCs w:val="32"/>
              </w:rPr>
              <w:t>工程监理资质</w:t>
            </w:r>
          </w:p>
        </w:tc>
        <w:tc>
          <w:tcPr>
            <w:tcW w:w="1255" w:type="pct"/>
            <w:gridSpan w:val="2"/>
            <w:vAlign w:val="center"/>
          </w:tcPr>
          <w:p>
            <w:pPr>
              <w:ind w:firstLine="0" w:firstLineChars="0"/>
              <w:jc w:val="center"/>
              <w:rPr>
                <w:sz w:val="28"/>
                <w:szCs w:val="21"/>
              </w:rPr>
            </w:pPr>
            <w:r>
              <w:rPr>
                <w:sz w:val="28"/>
                <w:szCs w:val="21"/>
              </w:rPr>
              <w:t>综合资质</w:t>
            </w:r>
          </w:p>
        </w:tc>
        <w:tc>
          <w:tcPr>
            <w:tcW w:w="649" w:type="pct"/>
            <w:vAlign w:val="center"/>
          </w:tcPr>
          <w:p>
            <w:pPr>
              <w:ind w:firstLine="0" w:firstLineChars="0"/>
              <w:jc w:val="center"/>
              <w:rPr>
                <w:sz w:val="28"/>
                <w:szCs w:val="21"/>
              </w:rPr>
            </w:pPr>
            <w:r>
              <w:rPr>
                <w:sz w:val="28"/>
                <w:szCs w:val="21"/>
              </w:rPr>
              <w:t>3</w:t>
            </w:r>
          </w:p>
        </w:tc>
        <w:tc>
          <w:tcPr>
            <w:tcW w:w="649" w:type="pct"/>
            <w:vAlign w:val="center"/>
          </w:tcPr>
          <w:p>
            <w:pPr>
              <w:ind w:firstLine="0" w:firstLineChars="0"/>
              <w:jc w:val="center"/>
              <w:rPr>
                <w:sz w:val="28"/>
                <w:szCs w:val="21"/>
              </w:rPr>
            </w:pPr>
            <w:r>
              <w:rPr>
                <w:sz w:val="28"/>
                <w:szCs w:val="21"/>
              </w:rPr>
              <w:t>3</w:t>
            </w:r>
          </w:p>
        </w:tc>
        <w:tc>
          <w:tcPr>
            <w:tcW w:w="649" w:type="pct"/>
            <w:vAlign w:val="center"/>
          </w:tcPr>
          <w:p>
            <w:pPr>
              <w:ind w:firstLine="0" w:firstLineChars="0"/>
              <w:jc w:val="center"/>
              <w:rPr>
                <w:sz w:val="28"/>
                <w:szCs w:val="21"/>
              </w:rPr>
            </w:pPr>
            <w:r>
              <w:rPr>
                <w:sz w:val="28"/>
                <w:szCs w:val="21"/>
              </w:rPr>
              <w:t>3</w:t>
            </w:r>
          </w:p>
        </w:tc>
        <w:tc>
          <w:tcPr>
            <w:tcW w:w="649" w:type="pct"/>
            <w:vAlign w:val="center"/>
          </w:tcPr>
          <w:p>
            <w:pPr>
              <w:ind w:firstLine="0" w:firstLineChars="0"/>
              <w:jc w:val="center"/>
              <w:rPr>
                <w:sz w:val="28"/>
                <w:szCs w:val="21"/>
              </w:rPr>
            </w:pPr>
            <w:r>
              <w:rPr>
                <w:sz w:val="28"/>
                <w:szCs w:val="21"/>
              </w:rPr>
              <w:t>3</w:t>
            </w:r>
          </w:p>
        </w:tc>
        <w:tc>
          <w:tcPr>
            <w:tcW w:w="650" w:type="pct"/>
            <w:vAlign w:val="center"/>
          </w:tcPr>
          <w:p>
            <w:pPr>
              <w:ind w:firstLine="0" w:firstLineChars="0"/>
              <w:jc w:val="center"/>
              <w:rPr>
                <w:sz w:val="28"/>
                <w:szCs w:val="21"/>
              </w:rPr>
            </w:pPr>
            <w:r>
              <w:rPr>
                <w:sz w:val="28"/>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7" w:type="pct"/>
            <w:vMerge w:val="continue"/>
            <w:vAlign w:val="center"/>
          </w:tcPr>
          <w:p>
            <w:pPr>
              <w:ind w:firstLine="0" w:firstLineChars="0"/>
              <w:jc w:val="center"/>
              <w:rPr>
                <w:sz w:val="28"/>
                <w:szCs w:val="21"/>
              </w:rPr>
            </w:pPr>
          </w:p>
        </w:tc>
        <w:tc>
          <w:tcPr>
            <w:tcW w:w="782" w:type="pct"/>
            <w:vMerge w:val="restart"/>
            <w:vAlign w:val="center"/>
          </w:tcPr>
          <w:p>
            <w:pPr>
              <w:ind w:firstLine="0" w:firstLineChars="0"/>
              <w:jc w:val="center"/>
              <w:rPr>
                <w:sz w:val="28"/>
                <w:szCs w:val="21"/>
              </w:rPr>
            </w:pPr>
            <w:r>
              <w:rPr>
                <w:sz w:val="28"/>
                <w:szCs w:val="21"/>
              </w:rPr>
              <w:t>专业资质</w:t>
            </w:r>
          </w:p>
        </w:tc>
        <w:tc>
          <w:tcPr>
            <w:tcW w:w="473" w:type="pct"/>
            <w:vAlign w:val="center"/>
          </w:tcPr>
          <w:p>
            <w:pPr>
              <w:ind w:firstLine="0" w:firstLineChars="0"/>
              <w:jc w:val="center"/>
              <w:rPr>
                <w:sz w:val="28"/>
                <w:szCs w:val="21"/>
              </w:rPr>
            </w:pPr>
            <w:r>
              <w:rPr>
                <w:sz w:val="28"/>
                <w:szCs w:val="21"/>
              </w:rPr>
              <w:t>甲级</w:t>
            </w:r>
          </w:p>
        </w:tc>
        <w:tc>
          <w:tcPr>
            <w:tcW w:w="649" w:type="pct"/>
            <w:vAlign w:val="center"/>
          </w:tcPr>
          <w:p>
            <w:pPr>
              <w:ind w:firstLine="0" w:firstLineChars="0"/>
              <w:jc w:val="center"/>
              <w:rPr>
                <w:sz w:val="28"/>
                <w:szCs w:val="21"/>
              </w:rPr>
            </w:pPr>
            <w:r>
              <w:rPr>
                <w:sz w:val="28"/>
                <w:szCs w:val="21"/>
              </w:rPr>
              <w:t>60</w:t>
            </w:r>
          </w:p>
        </w:tc>
        <w:tc>
          <w:tcPr>
            <w:tcW w:w="649" w:type="pct"/>
            <w:vAlign w:val="center"/>
          </w:tcPr>
          <w:p>
            <w:pPr>
              <w:ind w:firstLine="0" w:firstLineChars="0"/>
              <w:jc w:val="center"/>
              <w:rPr>
                <w:sz w:val="28"/>
                <w:szCs w:val="21"/>
              </w:rPr>
            </w:pPr>
            <w:r>
              <w:rPr>
                <w:sz w:val="28"/>
                <w:szCs w:val="21"/>
              </w:rPr>
              <w:t>64</w:t>
            </w:r>
          </w:p>
        </w:tc>
        <w:tc>
          <w:tcPr>
            <w:tcW w:w="649" w:type="pct"/>
            <w:vAlign w:val="center"/>
          </w:tcPr>
          <w:p>
            <w:pPr>
              <w:ind w:firstLine="0" w:firstLineChars="0"/>
              <w:jc w:val="center"/>
              <w:rPr>
                <w:sz w:val="28"/>
                <w:szCs w:val="21"/>
              </w:rPr>
            </w:pPr>
            <w:r>
              <w:rPr>
                <w:sz w:val="28"/>
                <w:szCs w:val="21"/>
              </w:rPr>
              <w:t>66</w:t>
            </w:r>
          </w:p>
        </w:tc>
        <w:tc>
          <w:tcPr>
            <w:tcW w:w="649" w:type="pct"/>
            <w:vAlign w:val="center"/>
          </w:tcPr>
          <w:p>
            <w:pPr>
              <w:ind w:firstLine="0" w:firstLineChars="0"/>
              <w:jc w:val="center"/>
              <w:rPr>
                <w:sz w:val="28"/>
                <w:szCs w:val="21"/>
              </w:rPr>
            </w:pPr>
            <w:r>
              <w:rPr>
                <w:sz w:val="28"/>
                <w:szCs w:val="21"/>
              </w:rPr>
              <w:t>73</w:t>
            </w:r>
          </w:p>
        </w:tc>
        <w:tc>
          <w:tcPr>
            <w:tcW w:w="650" w:type="pct"/>
            <w:vAlign w:val="center"/>
          </w:tcPr>
          <w:p>
            <w:pPr>
              <w:ind w:firstLine="0" w:firstLineChars="0"/>
              <w:jc w:val="center"/>
              <w:rPr>
                <w:sz w:val="28"/>
                <w:szCs w:val="21"/>
              </w:rPr>
            </w:pPr>
            <w:r>
              <w:rPr>
                <w:rFonts w:hint="eastAsia"/>
                <w:sz w:val="28"/>
                <w:szCs w:val="21"/>
              </w:rPr>
              <w:t>7</w:t>
            </w:r>
            <w:r>
              <w:rPr>
                <w:sz w:val="28"/>
                <w:szCs w:val="21"/>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7" w:type="pct"/>
            <w:vMerge w:val="continue"/>
            <w:vAlign w:val="center"/>
          </w:tcPr>
          <w:p>
            <w:pPr>
              <w:ind w:firstLine="0" w:firstLineChars="0"/>
              <w:jc w:val="center"/>
              <w:rPr>
                <w:sz w:val="28"/>
                <w:szCs w:val="21"/>
              </w:rPr>
            </w:pPr>
          </w:p>
        </w:tc>
        <w:tc>
          <w:tcPr>
            <w:tcW w:w="782" w:type="pct"/>
            <w:vMerge w:val="continue"/>
            <w:vAlign w:val="center"/>
          </w:tcPr>
          <w:p>
            <w:pPr>
              <w:ind w:firstLine="0" w:firstLineChars="0"/>
              <w:jc w:val="center"/>
              <w:rPr>
                <w:sz w:val="28"/>
                <w:szCs w:val="21"/>
              </w:rPr>
            </w:pPr>
          </w:p>
        </w:tc>
        <w:tc>
          <w:tcPr>
            <w:tcW w:w="473" w:type="pct"/>
            <w:vAlign w:val="center"/>
          </w:tcPr>
          <w:p>
            <w:pPr>
              <w:ind w:firstLine="0" w:firstLineChars="0"/>
              <w:jc w:val="center"/>
              <w:rPr>
                <w:sz w:val="28"/>
                <w:szCs w:val="21"/>
              </w:rPr>
            </w:pPr>
            <w:r>
              <w:rPr>
                <w:sz w:val="28"/>
                <w:szCs w:val="21"/>
              </w:rPr>
              <w:t>乙级</w:t>
            </w:r>
          </w:p>
        </w:tc>
        <w:tc>
          <w:tcPr>
            <w:tcW w:w="649" w:type="pct"/>
            <w:vAlign w:val="center"/>
          </w:tcPr>
          <w:p>
            <w:pPr>
              <w:ind w:firstLine="0" w:firstLineChars="0"/>
              <w:jc w:val="center"/>
              <w:rPr>
                <w:sz w:val="28"/>
                <w:szCs w:val="21"/>
              </w:rPr>
            </w:pPr>
            <w:r>
              <w:rPr>
                <w:sz w:val="28"/>
                <w:szCs w:val="21"/>
              </w:rPr>
              <w:t>31</w:t>
            </w:r>
          </w:p>
        </w:tc>
        <w:tc>
          <w:tcPr>
            <w:tcW w:w="649" w:type="pct"/>
            <w:vAlign w:val="center"/>
          </w:tcPr>
          <w:p>
            <w:pPr>
              <w:ind w:firstLine="0" w:firstLineChars="0"/>
              <w:jc w:val="center"/>
              <w:rPr>
                <w:sz w:val="28"/>
                <w:szCs w:val="21"/>
              </w:rPr>
            </w:pPr>
            <w:r>
              <w:rPr>
                <w:sz w:val="28"/>
                <w:szCs w:val="21"/>
              </w:rPr>
              <w:t>32</w:t>
            </w:r>
          </w:p>
        </w:tc>
        <w:tc>
          <w:tcPr>
            <w:tcW w:w="649" w:type="pct"/>
            <w:vAlign w:val="center"/>
          </w:tcPr>
          <w:p>
            <w:pPr>
              <w:ind w:firstLine="0" w:firstLineChars="0"/>
              <w:jc w:val="center"/>
              <w:rPr>
                <w:sz w:val="28"/>
                <w:szCs w:val="21"/>
              </w:rPr>
            </w:pPr>
            <w:r>
              <w:rPr>
                <w:sz w:val="28"/>
                <w:szCs w:val="21"/>
              </w:rPr>
              <w:t>42</w:t>
            </w:r>
          </w:p>
        </w:tc>
        <w:tc>
          <w:tcPr>
            <w:tcW w:w="649" w:type="pct"/>
            <w:vAlign w:val="center"/>
          </w:tcPr>
          <w:p>
            <w:pPr>
              <w:ind w:firstLine="0" w:firstLineChars="0"/>
              <w:jc w:val="center"/>
              <w:rPr>
                <w:sz w:val="28"/>
                <w:szCs w:val="21"/>
              </w:rPr>
            </w:pPr>
            <w:r>
              <w:rPr>
                <w:sz w:val="28"/>
                <w:szCs w:val="21"/>
              </w:rPr>
              <w:t>45</w:t>
            </w:r>
          </w:p>
        </w:tc>
        <w:tc>
          <w:tcPr>
            <w:tcW w:w="650" w:type="pct"/>
            <w:vAlign w:val="center"/>
          </w:tcPr>
          <w:p>
            <w:pPr>
              <w:ind w:firstLine="0" w:firstLineChars="0"/>
              <w:jc w:val="center"/>
              <w:rPr>
                <w:sz w:val="28"/>
                <w:szCs w:val="21"/>
              </w:rPr>
            </w:pPr>
            <w:r>
              <w:rPr>
                <w:rFonts w:hint="eastAsia"/>
                <w:sz w:val="28"/>
                <w:szCs w:val="21"/>
              </w:rPr>
              <w:t>5</w:t>
            </w:r>
            <w:r>
              <w:rPr>
                <w:sz w:val="28"/>
                <w:szCs w:val="21"/>
              </w:rPr>
              <w:t>0</w:t>
            </w:r>
          </w:p>
        </w:tc>
      </w:tr>
    </w:tbl>
    <w:p>
      <w:pPr>
        <w:ind w:firstLine="0" w:firstLineChars="0"/>
        <w:rPr>
          <w:highlight w:val="yellow"/>
        </w:rPr>
      </w:pPr>
    </w:p>
    <w:p>
      <w:pPr>
        <w:spacing w:line="240" w:lineRule="auto"/>
        <w:ind w:firstLine="0" w:firstLineChars="0"/>
        <w:jc w:val="center"/>
        <w:rPr>
          <w:highlight w:val="yellow"/>
        </w:rPr>
      </w:pPr>
      <w:r>
        <w:drawing>
          <wp:inline distT="0" distB="0" distL="0" distR="0">
            <wp:extent cx="5182235" cy="28289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82235" cy="2828925"/>
                    </a:xfrm>
                    <a:prstGeom prst="rect">
                      <a:avLst/>
                    </a:prstGeom>
                    <a:noFill/>
                  </pic:spPr>
                </pic:pic>
              </a:graphicData>
            </a:graphic>
          </wp:inline>
        </w:drawing>
      </w:r>
    </w:p>
    <w:p>
      <w:pPr>
        <w:spacing w:line="240" w:lineRule="auto"/>
        <w:ind w:firstLine="0" w:firstLineChars="0"/>
        <w:jc w:val="center"/>
      </w:pPr>
      <w:r>
        <w:rPr>
          <w:rFonts w:hint="eastAsia" w:ascii="方正仿宋_GBK"/>
          <w:sz w:val="28"/>
          <w:szCs w:val="28"/>
        </w:rPr>
        <w:t>图</w:t>
      </w:r>
      <w:r>
        <w:rPr>
          <w:sz w:val="28"/>
          <w:szCs w:val="28"/>
        </w:rPr>
        <w:fldChar w:fldCharType="begin"/>
      </w:r>
      <w:r>
        <w:rPr>
          <w:sz w:val="28"/>
          <w:szCs w:val="28"/>
        </w:rPr>
        <w:instrText xml:space="preserve"> SEQ 图 \* ARABIC </w:instrText>
      </w:r>
      <w:r>
        <w:rPr>
          <w:sz w:val="28"/>
          <w:szCs w:val="28"/>
        </w:rPr>
        <w:fldChar w:fldCharType="separate"/>
      </w:r>
      <w:r>
        <w:rPr>
          <w:sz w:val="28"/>
          <w:szCs w:val="28"/>
        </w:rPr>
        <w:t>1</w:t>
      </w:r>
      <w:r>
        <w:rPr>
          <w:sz w:val="28"/>
          <w:szCs w:val="28"/>
        </w:rPr>
        <w:fldChar w:fldCharType="end"/>
      </w:r>
      <w:r>
        <w:rPr>
          <w:rFonts w:hint="eastAsia" w:ascii="方正仿宋_GBK"/>
          <w:sz w:val="28"/>
          <w:szCs w:val="28"/>
        </w:rPr>
        <w:t xml:space="preserve"> “十三五”期间一级及以上资质施工企业数量及增长率</w:t>
      </w:r>
    </w:p>
    <w:p>
      <w:pPr>
        <w:spacing w:line="240" w:lineRule="auto"/>
        <w:ind w:firstLine="0" w:firstLineChars="0"/>
        <w:jc w:val="center"/>
      </w:pPr>
      <w:r>
        <w:drawing>
          <wp:inline distT="0" distB="0" distL="0" distR="0">
            <wp:extent cx="5145405" cy="28346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45405" cy="2834640"/>
                    </a:xfrm>
                    <a:prstGeom prst="rect">
                      <a:avLst/>
                    </a:prstGeom>
                    <a:noFill/>
                  </pic:spPr>
                </pic:pic>
              </a:graphicData>
            </a:graphic>
          </wp:inline>
        </w:drawing>
      </w:r>
    </w:p>
    <w:p>
      <w:pPr>
        <w:pStyle w:val="6"/>
        <w:ind w:firstLine="560"/>
        <w:jc w:val="center"/>
        <w:rPr>
          <w:rFonts w:ascii="方正仿宋_GBK" w:hAnsi="Times New Roman" w:eastAsia="方正仿宋_GBK"/>
          <w:sz w:val="28"/>
          <w:szCs w:val="28"/>
        </w:rPr>
      </w:pPr>
      <w:r>
        <w:rPr>
          <w:rFonts w:hint="eastAsia" w:ascii="方正仿宋_GBK" w:hAnsi="Times New Roman" w:eastAsia="方正仿宋_GBK"/>
          <w:sz w:val="28"/>
          <w:szCs w:val="28"/>
        </w:rPr>
        <w:t>图</w:t>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SEQ 图 \* ARABIC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2</w:t>
      </w:r>
      <w:r>
        <w:rPr>
          <w:rFonts w:ascii="Times New Roman" w:hAnsi="Times New Roman" w:eastAsia="方正仿宋_GBK"/>
          <w:sz w:val="28"/>
          <w:szCs w:val="28"/>
        </w:rPr>
        <w:fldChar w:fldCharType="end"/>
      </w:r>
      <w:r>
        <w:rPr>
          <w:rFonts w:hint="eastAsia" w:ascii="方正仿宋_GBK" w:hAnsi="Times New Roman" w:eastAsia="方正仿宋_GBK"/>
          <w:sz w:val="28"/>
          <w:szCs w:val="28"/>
        </w:rPr>
        <w:t xml:space="preserve"> “十三五”期间甲级及以上监理企业数量及增长率</w:t>
      </w:r>
    </w:p>
    <w:p>
      <w:pPr>
        <w:ind w:firstLine="0" w:firstLineChars="0"/>
      </w:pPr>
    </w:p>
    <w:p>
      <w:pPr>
        <w:pStyle w:val="4"/>
        <w:ind w:firstLine="643"/>
      </w:pPr>
      <w:bookmarkStart w:id="19" w:name="_Toc19340"/>
      <w:bookmarkStart w:id="20" w:name="_Toc8100"/>
      <w:bookmarkStart w:id="21" w:name="_Toc65746599"/>
      <w:bookmarkStart w:id="22" w:name="_Toc8253"/>
      <w:bookmarkStart w:id="23" w:name="_Toc66457107"/>
      <w:bookmarkStart w:id="24" w:name="_Toc91149462"/>
      <w:r>
        <w:rPr>
          <w:rFonts w:hint="eastAsia"/>
        </w:rPr>
        <w:t>2．从业人员素质不断</w:t>
      </w:r>
      <w:bookmarkEnd w:id="19"/>
      <w:bookmarkEnd w:id="20"/>
      <w:bookmarkEnd w:id="21"/>
      <w:bookmarkEnd w:id="22"/>
      <w:r>
        <w:rPr>
          <w:rFonts w:hint="eastAsia"/>
        </w:rPr>
        <w:t>提升</w:t>
      </w:r>
      <w:bookmarkEnd w:id="23"/>
      <w:bookmarkEnd w:id="24"/>
    </w:p>
    <w:p>
      <w:pPr>
        <w:ind w:firstLine="640"/>
        <w:rPr>
          <w:rFonts w:ascii="方正仿宋_GBK" w:cs="方正仿宋_GBK"/>
          <w:color w:val="000000" w:themeColor="text1"/>
          <w:szCs w:val="32"/>
          <w14:textFill>
            <w14:solidFill>
              <w14:schemeClr w14:val="tx1"/>
            </w14:solidFill>
          </w14:textFill>
        </w:rPr>
      </w:pPr>
      <w:r>
        <w:rPr>
          <w:rFonts w:hint="eastAsia" w:ascii="方正仿宋_GBK"/>
          <w:color w:val="000000" w:themeColor="text1"/>
          <w:szCs w:val="32"/>
          <w14:textFill>
            <w14:solidFill>
              <w14:schemeClr w14:val="tx1"/>
            </w14:solidFill>
          </w14:textFill>
        </w:rPr>
        <w:t>“十三五”</w:t>
      </w:r>
      <w:r>
        <w:rPr>
          <w:color w:val="000000" w:themeColor="text1"/>
          <w:szCs w:val="32"/>
          <w14:textFill>
            <w14:solidFill>
              <w14:schemeClr w14:val="tx1"/>
            </w14:solidFill>
          </w14:textFill>
        </w:rPr>
        <w:t>期间，重庆市</w:t>
      </w:r>
      <w:r>
        <w:rPr>
          <w:rFonts w:hint="eastAsia"/>
          <w:color w:val="000000" w:themeColor="text1"/>
          <w:szCs w:val="32"/>
          <w14:textFill>
            <w14:solidFill>
              <w14:schemeClr w14:val="tx1"/>
            </w14:solidFill>
          </w14:textFill>
        </w:rPr>
        <w:t>建筑业为社会提供了大量就业机会，2020年共吸纳本市农村劳动力100.3万人，占全市农村富余劳动力总量的</w:t>
      </w:r>
      <w:r>
        <w:rPr>
          <w:color w:val="000000" w:themeColor="text1"/>
          <w:szCs w:val="32"/>
          <w14:textFill>
            <w14:solidFill>
              <w14:schemeClr w14:val="tx1"/>
            </w14:solidFill>
          </w14:textFill>
        </w:rPr>
        <w:t>51.7</w:t>
      </w:r>
      <w:r>
        <w:rPr>
          <w:rFonts w:hint="eastAsia"/>
          <w:color w:val="000000" w:themeColor="text1"/>
          <w:szCs w:val="32"/>
          <w14:textFill>
            <w14:solidFill>
              <w14:schemeClr w14:val="tx1"/>
            </w14:solidFill>
          </w14:textFill>
        </w:rPr>
        <w:t>%。同时</w:t>
      </w:r>
      <w:r>
        <w:rPr>
          <w:color w:val="000000" w:themeColor="text1"/>
          <w:szCs w:val="32"/>
          <w14:textFill>
            <w14:solidFill>
              <w14:schemeClr w14:val="tx1"/>
            </w14:solidFill>
          </w14:textFill>
        </w:rPr>
        <w:t>人才培养力度加大，人才</w:t>
      </w:r>
      <w:r>
        <w:rPr>
          <w:rFonts w:hint="eastAsia"/>
          <w:color w:val="000000" w:themeColor="text1"/>
          <w:szCs w:val="32"/>
          <w14:textFill>
            <w14:solidFill>
              <w14:schemeClr w14:val="tx1"/>
            </w14:solidFill>
          </w14:textFill>
        </w:rPr>
        <w:t>素质</w:t>
      </w:r>
      <w:r>
        <w:rPr>
          <w:color w:val="000000" w:themeColor="text1"/>
          <w:szCs w:val="32"/>
          <w14:textFill>
            <w14:solidFill>
              <w14:schemeClr w14:val="tx1"/>
            </w14:solidFill>
          </w14:textFill>
        </w:rPr>
        <w:t>不断优化，形成了层次较为明晰、专业门类较为齐全的</w:t>
      </w:r>
      <w:r>
        <w:rPr>
          <w:rFonts w:hint="eastAsia"/>
          <w:color w:val="000000" w:themeColor="text1"/>
          <w:szCs w:val="32"/>
          <w14:textFill>
            <w14:solidFill>
              <w14:schemeClr w14:val="tx1"/>
            </w14:solidFill>
          </w14:textFill>
        </w:rPr>
        <w:t>专业</w:t>
      </w:r>
      <w:r>
        <w:rPr>
          <w:color w:val="000000" w:themeColor="text1"/>
          <w:szCs w:val="32"/>
          <w14:textFill>
            <w14:solidFill>
              <w14:schemeClr w14:val="tx1"/>
            </w14:solidFill>
          </w14:textFill>
        </w:rPr>
        <w:t>人才队伍。截至</w:t>
      </w:r>
      <w:r>
        <w:rPr>
          <w:rFonts w:hint="eastAsia"/>
          <w:color w:val="000000" w:themeColor="text1"/>
          <w:szCs w:val="32"/>
          <w14:textFill>
            <w14:solidFill>
              <w14:schemeClr w14:val="tx1"/>
            </w14:solidFill>
          </w14:textFill>
        </w:rPr>
        <w:t>2020年末</w:t>
      </w:r>
      <w:r>
        <w:rPr>
          <w:color w:val="000000" w:themeColor="text1"/>
          <w:szCs w:val="32"/>
          <w14:textFill>
            <w14:solidFill>
              <w14:schemeClr w14:val="tx1"/>
            </w14:solidFill>
          </w14:textFill>
        </w:rPr>
        <w:t>，全市共有注册建造师51418人，注册造价工程师5100人，注册监理工程师4546人。</w:t>
      </w:r>
      <w:r>
        <w:rPr>
          <w:rFonts w:hint="eastAsia" w:ascii="方正仿宋_GBK" w:cs="方正仿宋_GBK"/>
          <w:color w:val="000000" w:themeColor="text1"/>
          <w:szCs w:val="32"/>
          <w14:textFill>
            <w14:solidFill>
              <w14:schemeClr w14:val="tx1"/>
            </w14:solidFill>
          </w14:textFill>
        </w:rPr>
        <w:t>全市共培训建筑工人</w:t>
      </w:r>
      <w:r>
        <w:rPr>
          <w:color w:val="000000" w:themeColor="text1"/>
          <w:szCs w:val="32"/>
          <w14:textFill>
            <w14:solidFill>
              <w14:schemeClr w14:val="tx1"/>
            </w14:solidFill>
          </w14:textFill>
        </w:rPr>
        <w:t>42</w:t>
      </w:r>
      <w:r>
        <w:rPr>
          <w:rFonts w:hint="eastAsia"/>
          <w:color w:val="000000" w:themeColor="text1"/>
          <w:szCs w:val="32"/>
          <w14:textFill>
            <w14:solidFill>
              <w14:schemeClr w14:val="tx1"/>
            </w14:solidFill>
          </w14:textFill>
        </w:rPr>
        <w:t>.</w:t>
      </w:r>
      <w:r>
        <w:rPr>
          <w:color w:val="000000" w:themeColor="text1"/>
          <w:szCs w:val="32"/>
          <w14:textFill>
            <w14:solidFill>
              <w14:schemeClr w14:val="tx1"/>
            </w14:solidFill>
          </w14:textFill>
        </w:rPr>
        <w:t>85</w:t>
      </w:r>
      <w:r>
        <w:rPr>
          <w:rFonts w:hint="eastAsia"/>
          <w:color w:val="000000" w:themeColor="text1"/>
          <w:szCs w:val="32"/>
          <w14:textFill>
            <w14:solidFill>
              <w14:schemeClr w14:val="tx1"/>
            </w14:solidFill>
          </w14:textFill>
        </w:rPr>
        <w:t>万</w:t>
      </w:r>
      <w:r>
        <w:rPr>
          <w:color w:val="000000" w:themeColor="text1"/>
          <w:szCs w:val="32"/>
          <w14:textFill>
            <w14:solidFill>
              <w14:schemeClr w14:val="tx1"/>
            </w14:solidFill>
          </w14:textFill>
        </w:rPr>
        <w:t>人</w:t>
      </w:r>
      <w:r>
        <w:rPr>
          <w:rFonts w:hint="eastAsia"/>
          <w:color w:val="000000" w:themeColor="text1"/>
          <w:szCs w:val="32"/>
          <w14:textFill>
            <w14:solidFill>
              <w14:schemeClr w14:val="tx1"/>
            </w14:solidFill>
          </w14:textFill>
        </w:rPr>
        <w:t>；培训</w:t>
      </w:r>
      <w:r>
        <w:rPr>
          <w:color w:val="000000" w:themeColor="text1"/>
          <w:szCs w:val="32"/>
          <w14:textFill>
            <w14:solidFill>
              <w14:schemeClr w14:val="tx1"/>
            </w14:solidFill>
          </w14:textFill>
        </w:rPr>
        <w:t>农村建筑工匠13070人</w:t>
      </w:r>
      <w:r>
        <w:rPr>
          <w:rFonts w:hint="eastAsia"/>
          <w:color w:val="000000" w:themeColor="text1"/>
          <w:szCs w:val="32"/>
          <w14:textFill>
            <w14:solidFill>
              <w14:schemeClr w14:val="tx1"/>
            </w14:solidFill>
          </w14:textFill>
        </w:rPr>
        <w:t>，超额完成《重庆市实施乡村振兴战略行动计划》培训1万名农村建筑工匠的任务；发布全国首个装配式建筑工人技能标准，培训</w:t>
      </w:r>
      <w:r>
        <w:rPr>
          <w:color w:val="000000" w:themeColor="text1"/>
          <w:szCs w:val="32"/>
          <w14:textFill>
            <w14:solidFill>
              <w14:schemeClr w14:val="tx1"/>
            </w14:solidFill>
          </w14:textFill>
        </w:rPr>
        <w:t>装配式建筑工人1434人</w:t>
      </w:r>
      <w:r>
        <w:rPr>
          <w:rFonts w:hint="eastAsia"/>
          <w:color w:val="000000" w:themeColor="text1"/>
          <w:szCs w:val="32"/>
          <w14:textFill>
            <w14:solidFill>
              <w14:schemeClr w14:val="tx1"/>
            </w14:solidFill>
          </w14:textFill>
        </w:rPr>
        <w:t>；培训</w:t>
      </w:r>
      <w:r>
        <w:rPr>
          <w:color w:val="000000" w:themeColor="text1"/>
          <w:szCs w:val="32"/>
          <w14:textFill>
            <w14:solidFill>
              <w14:schemeClr w14:val="tx1"/>
            </w14:solidFill>
          </w14:textFill>
        </w:rPr>
        <w:t>高技能人才8813人</w:t>
      </w:r>
      <w:r>
        <w:rPr>
          <w:rFonts w:hint="eastAsia"/>
          <w:color w:val="000000" w:themeColor="text1"/>
          <w:szCs w:val="32"/>
          <w14:textFill>
            <w14:solidFill>
              <w14:schemeClr w14:val="tx1"/>
            </w14:solidFill>
          </w14:textFill>
        </w:rPr>
        <w:t>，</w:t>
      </w:r>
      <w:r>
        <w:rPr>
          <w:color w:val="000000" w:themeColor="text1"/>
          <w:szCs w:val="32"/>
          <w14:textFill>
            <w14:solidFill>
              <w14:schemeClr w14:val="tx1"/>
            </w14:solidFill>
          </w14:textFill>
        </w:rPr>
        <w:t>特种作业人员</w:t>
      </w:r>
      <w:r>
        <w:rPr>
          <w:rFonts w:hint="eastAsia"/>
          <w:color w:val="000000" w:themeColor="text1"/>
          <w:szCs w:val="32"/>
          <w14:textFill>
            <w14:solidFill>
              <w14:schemeClr w14:val="tx1"/>
            </w14:solidFill>
          </w14:textFill>
        </w:rPr>
        <w:t>32260</w:t>
      </w:r>
      <w:r>
        <w:rPr>
          <w:color w:val="000000" w:themeColor="text1"/>
          <w:szCs w:val="32"/>
          <w14:textFill>
            <w14:solidFill>
              <w14:schemeClr w14:val="tx1"/>
            </w14:solidFill>
          </w14:textFill>
        </w:rPr>
        <w:t>人</w:t>
      </w:r>
      <w:r>
        <w:rPr>
          <w:rFonts w:hint="eastAsia"/>
          <w:color w:val="000000" w:themeColor="text1"/>
          <w:szCs w:val="32"/>
          <w14:textFill>
            <w14:solidFill>
              <w14:schemeClr w14:val="tx1"/>
            </w14:solidFill>
          </w14:textFill>
        </w:rPr>
        <w:t>，检测人员</w:t>
      </w:r>
      <w:r>
        <w:rPr>
          <w:color w:val="000000" w:themeColor="text1"/>
          <w:szCs w:val="32"/>
          <w14:textFill>
            <w14:solidFill>
              <w14:schemeClr w14:val="tx1"/>
            </w14:solidFill>
          </w14:textFill>
        </w:rPr>
        <w:t>4007</w:t>
      </w:r>
      <w:r>
        <w:rPr>
          <w:rFonts w:hint="eastAsia"/>
          <w:color w:val="000000" w:themeColor="text1"/>
          <w:szCs w:val="32"/>
          <w14:textFill>
            <w14:solidFill>
              <w14:schemeClr w14:val="tx1"/>
            </w14:solidFill>
          </w14:textFill>
        </w:rPr>
        <w:t>人，共发放“安管人员”安全生产考核合格证书83455个</w:t>
      </w:r>
      <w:r>
        <w:rPr>
          <w:color w:val="000000" w:themeColor="text1"/>
          <w:szCs w:val="32"/>
          <w14:textFill>
            <w14:solidFill>
              <w14:schemeClr w14:val="tx1"/>
            </w14:solidFill>
          </w14:textFill>
        </w:rPr>
        <w:t>。</w:t>
      </w:r>
      <w:r>
        <w:rPr>
          <w:rFonts w:hint="eastAsia"/>
          <w:color w:val="000000" w:themeColor="text1"/>
          <w:szCs w:val="32"/>
          <w:lang w:val="en-US" w:eastAsia="zh-CN"/>
          <w14:textFill>
            <w14:solidFill>
              <w14:schemeClr w14:val="tx1"/>
            </w14:solidFill>
          </w14:textFill>
        </w:rPr>
        <w:t>10</w:t>
      </w:r>
      <w:r>
        <w:rPr>
          <w:color w:val="000000" w:themeColor="text1"/>
          <w:szCs w:val="32"/>
          <w14:textFill>
            <w14:solidFill>
              <w14:schemeClr w14:val="tx1"/>
            </w14:solidFill>
          </w14:textFill>
        </w:rPr>
        <w:t>人获得重庆市</w:t>
      </w:r>
      <w:r>
        <w:rPr>
          <w:rFonts w:hint="eastAsia" w:ascii="方正仿宋_GBK"/>
          <w:color w:val="000000" w:themeColor="text1"/>
          <w:szCs w:val="32"/>
          <w14:textFill>
            <w14:solidFill>
              <w14:schemeClr w14:val="tx1"/>
            </w14:solidFill>
          </w14:textFill>
        </w:rPr>
        <w:t>“五一劳动奖章”</w:t>
      </w:r>
      <w:r>
        <w:rPr>
          <w:color w:val="000000" w:themeColor="text1"/>
          <w:szCs w:val="32"/>
          <w14:textFill>
            <w14:solidFill>
              <w14:schemeClr w14:val="tx1"/>
            </w14:solidFill>
          </w14:textFill>
        </w:rPr>
        <w:t>，4人获得</w:t>
      </w:r>
      <w:r>
        <w:rPr>
          <w:rFonts w:hint="eastAsia" w:ascii="方正仿宋_GBK"/>
          <w:color w:val="000000" w:themeColor="text1"/>
          <w:szCs w:val="32"/>
          <w14:textFill>
            <w14:solidFill>
              <w14:schemeClr w14:val="tx1"/>
            </w14:solidFill>
          </w14:textFill>
        </w:rPr>
        <w:t>“重庆市技术能手”</w:t>
      </w:r>
      <w:r>
        <w:rPr>
          <w:color w:val="000000" w:themeColor="text1"/>
          <w:szCs w:val="32"/>
          <w14:textFill>
            <w14:solidFill>
              <w14:schemeClr w14:val="tx1"/>
            </w14:solidFill>
          </w14:textFill>
        </w:rPr>
        <w:t>，</w:t>
      </w:r>
      <w:r>
        <w:rPr>
          <w:rFonts w:hint="eastAsia"/>
          <w:color w:val="000000" w:themeColor="text1"/>
          <w:szCs w:val="32"/>
          <w:lang w:val="en-US" w:eastAsia="zh-CN"/>
          <w14:textFill>
            <w14:solidFill>
              <w14:schemeClr w14:val="tx1"/>
            </w14:solidFill>
          </w14:textFill>
        </w:rPr>
        <w:t>5</w:t>
      </w:r>
      <w:r>
        <w:rPr>
          <w:color w:val="000000" w:themeColor="text1"/>
          <w:szCs w:val="32"/>
          <w14:textFill>
            <w14:solidFill>
              <w14:schemeClr w14:val="tx1"/>
            </w14:solidFill>
          </w14:textFill>
        </w:rPr>
        <w:t>人获得</w:t>
      </w:r>
      <w:r>
        <w:rPr>
          <w:rFonts w:hint="eastAsia" w:ascii="方正仿宋_GBK"/>
          <w:color w:val="000000" w:themeColor="text1"/>
          <w:szCs w:val="32"/>
          <w14:textFill>
            <w14:solidFill>
              <w14:schemeClr w14:val="tx1"/>
            </w14:solidFill>
          </w14:textFill>
        </w:rPr>
        <w:t>“全国住房城乡建设行业技术能手”称号</w:t>
      </w:r>
      <w:r>
        <w:rPr>
          <w:rFonts w:hint="eastAsia" w:ascii="方正仿宋_GBK" w:cs="方正仿宋_GBK"/>
          <w:color w:val="000000" w:themeColor="text1"/>
          <w:szCs w:val="32"/>
          <w14:textFill>
            <w14:solidFill>
              <w14:schemeClr w14:val="tx1"/>
            </w14:solidFill>
          </w14:textFill>
        </w:rPr>
        <w:t>。</w:t>
      </w:r>
    </w:p>
    <w:p>
      <w:pPr>
        <w:ind w:firstLine="640"/>
        <w:rPr>
          <w:rFonts w:ascii="方正仿宋_GBK" w:cs="方正仿宋_GBK"/>
          <w:color w:val="000000" w:themeColor="text1"/>
          <w:szCs w:val="32"/>
          <w14:textFill>
            <w14:solidFill>
              <w14:schemeClr w14:val="tx1"/>
            </w14:solidFill>
          </w14:textFill>
        </w:rPr>
      </w:pPr>
    </w:p>
    <w:p>
      <w:pPr>
        <w:ind w:firstLine="560"/>
        <w:jc w:val="center"/>
        <w:rPr>
          <w:rFonts w:ascii="方正仿宋_GBK" w:cs="方正仿宋_GBK"/>
          <w:color w:val="000000" w:themeColor="text1"/>
          <w:szCs w:val="32"/>
          <w14:textFill>
            <w14:solidFill>
              <w14:schemeClr w14:val="tx1"/>
            </w14:solidFill>
          </w14:textFill>
        </w:rPr>
      </w:pPr>
      <w:r>
        <w:rPr>
          <w:rFonts w:hint="eastAsia" w:ascii="方正仿宋_GBK"/>
          <w:sz w:val="28"/>
          <w:szCs w:val="28"/>
        </w:rPr>
        <w:t xml:space="preserve"> 表</w:t>
      </w:r>
      <w:r>
        <w:rPr>
          <w:sz w:val="28"/>
          <w:szCs w:val="28"/>
        </w:rPr>
        <w:fldChar w:fldCharType="begin"/>
      </w:r>
      <w:r>
        <w:rPr>
          <w:sz w:val="28"/>
          <w:szCs w:val="28"/>
        </w:rPr>
        <w:instrText xml:space="preserve"> SEQ 表 \* ARABIC </w:instrText>
      </w:r>
      <w:r>
        <w:rPr>
          <w:sz w:val="28"/>
          <w:szCs w:val="28"/>
        </w:rPr>
        <w:fldChar w:fldCharType="separate"/>
      </w:r>
      <w:r>
        <w:rPr>
          <w:sz w:val="28"/>
          <w:szCs w:val="28"/>
        </w:rPr>
        <w:t>2</w:t>
      </w:r>
      <w:r>
        <w:rPr>
          <w:sz w:val="28"/>
          <w:szCs w:val="28"/>
        </w:rPr>
        <w:fldChar w:fldCharType="end"/>
      </w:r>
      <w:r>
        <w:rPr>
          <w:rFonts w:hint="eastAsia" w:ascii="方正仿宋_GBK"/>
          <w:sz w:val="28"/>
          <w:szCs w:val="28"/>
        </w:rPr>
        <w:t xml:space="preserve"> “十三五”期间重庆市建筑业具备职业资格人员情况 </w:t>
      </w:r>
      <w:r>
        <w:rPr>
          <w:rFonts w:ascii="方正仿宋_GBK"/>
          <w:sz w:val="28"/>
          <w:szCs w:val="28"/>
        </w:rPr>
        <w:t xml:space="preserve"> </w:t>
      </w:r>
      <w:r>
        <w:rPr>
          <w:rFonts w:hint="eastAsia"/>
          <w:sz w:val="28"/>
          <w:szCs w:val="21"/>
        </w:rPr>
        <w:t>单位：人</w:t>
      </w:r>
    </w:p>
    <w:tbl>
      <w:tblPr>
        <w:tblStyle w:val="1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707"/>
        <w:gridCol w:w="1315"/>
        <w:gridCol w:w="1315"/>
        <w:gridCol w:w="1315"/>
        <w:gridCol w:w="1315"/>
        <w:gridCol w:w="13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57" w:type="pct"/>
            <w:vAlign w:val="center"/>
          </w:tcPr>
          <w:p>
            <w:pPr>
              <w:ind w:firstLine="0" w:firstLineChars="0"/>
              <w:jc w:val="center"/>
              <w:rPr>
                <w:sz w:val="28"/>
                <w:szCs w:val="21"/>
              </w:rPr>
            </w:pPr>
            <w:bookmarkStart w:id="25" w:name="_Hlk66030801"/>
            <w:r>
              <w:rPr>
                <w:sz w:val="28"/>
                <w:szCs w:val="21"/>
              </w:rPr>
              <w:t>类别</w:t>
            </w:r>
          </w:p>
        </w:tc>
        <w:tc>
          <w:tcPr>
            <w:tcW w:w="708" w:type="pct"/>
            <w:vAlign w:val="center"/>
          </w:tcPr>
          <w:p>
            <w:pPr>
              <w:ind w:firstLine="0" w:firstLineChars="0"/>
              <w:jc w:val="center"/>
              <w:rPr>
                <w:sz w:val="28"/>
                <w:szCs w:val="21"/>
              </w:rPr>
            </w:pPr>
            <w:r>
              <w:rPr>
                <w:sz w:val="28"/>
                <w:szCs w:val="21"/>
              </w:rPr>
              <w:t>2016年</w:t>
            </w:r>
          </w:p>
        </w:tc>
        <w:tc>
          <w:tcPr>
            <w:tcW w:w="708" w:type="pct"/>
            <w:vAlign w:val="center"/>
          </w:tcPr>
          <w:p>
            <w:pPr>
              <w:ind w:firstLine="0" w:firstLineChars="0"/>
              <w:jc w:val="center"/>
              <w:rPr>
                <w:sz w:val="28"/>
                <w:szCs w:val="21"/>
              </w:rPr>
            </w:pPr>
            <w:r>
              <w:rPr>
                <w:sz w:val="28"/>
                <w:szCs w:val="21"/>
              </w:rPr>
              <w:t>2017年</w:t>
            </w:r>
          </w:p>
        </w:tc>
        <w:tc>
          <w:tcPr>
            <w:tcW w:w="708" w:type="pct"/>
            <w:vAlign w:val="center"/>
          </w:tcPr>
          <w:p>
            <w:pPr>
              <w:ind w:firstLine="0" w:firstLineChars="0"/>
              <w:jc w:val="center"/>
              <w:rPr>
                <w:sz w:val="28"/>
                <w:szCs w:val="21"/>
              </w:rPr>
            </w:pPr>
            <w:r>
              <w:rPr>
                <w:sz w:val="28"/>
                <w:szCs w:val="21"/>
              </w:rPr>
              <w:t>2018年</w:t>
            </w:r>
          </w:p>
        </w:tc>
        <w:tc>
          <w:tcPr>
            <w:tcW w:w="708" w:type="pct"/>
            <w:vAlign w:val="center"/>
          </w:tcPr>
          <w:p>
            <w:pPr>
              <w:ind w:firstLine="0" w:firstLineChars="0"/>
              <w:jc w:val="center"/>
              <w:rPr>
                <w:sz w:val="28"/>
                <w:szCs w:val="21"/>
              </w:rPr>
            </w:pPr>
            <w:r>
              <w:rPr>
                <w:sz w:val="28"/>
                <w:szCs w:val="21"/>
              </w:rPr>
              <w:t>2019年</w:t>
            </w:r>
          </w:p>
        </w:tc>
        <w:tc>
          <w:tcPr>
            <w:tcW w:w="710" w:type="pct"/>
            <w:vAlign w:val="center"/>
          </w:tcPr>
          <w:p>
            <w:pPr>
              <w:ind w:firstLine="0" w:firstLineChars="0"/>
              <w:jc w:val="center"/>
              <w:rPr>
                <w:sz w:val="28"/>
                <w:szCs w:val="21"/>
              </w:rPr>
            </w:pPr>
            <w:r>
              <w:rPr>
                <w:sz w:val="28"/>
                <w:szCs w:val="21"/>
              </w:rPr>
              <w:t>2020年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57" w:type="pct"/>
            <w:vAlign w:val="center"/>
          </w:tcPr>
          <w:p>
            <w:pPr>
              <w:ind w:firstLine="0" w:firstLineChars="0"/>
              <w:rPr>
                <w:sz w:val="28"/>
                <w:szCs w:val="21"/>
              </w:rPr>
            </w:pPr>
            <w:r>
              <w:rPr>
                <w:sz w:val="28"/>
                <w:szCs w:val="21"/>
              </w:rPr>
              <w:t>注册建造师</w:t>
            </w:r>
          </w:p>
        </w:tc>
        <w:tc>
          <w:tcPr>
            <w:tcW w:w="708" w:type="pct"/>
            <w:vAlign w:val="center"/>
          </w:tcPr>
          <w:p>
            <w:pPr>
              <w:ind w:firstLine="0" w:firstLineChars="0"/>
              <w:jc w:val="center"/>
              <w:rPr>
                <w:sz w:val="28"/>
                <w:szCs w:val="21"/>
              </w:rPr>
            </w:pPr>
            <w:r>
              <w:rPr>
                <w:sz w:val="28"/>
                <w:szCs w:val="21"/>
              </w:rPr>
              <w:t>58945</w:t>
            </w:r>
          </w:p>
        </w:tc>
        <w:tc>
          <w:tcPr>
            <w:tcW w:w="708" w:type="pct"/>
            <w:vAlign w:val="center"/>
          </w:tcPr>
          <w:p>
            <w:pPr>
              <w:ind w:firstLine="0" w:firstLineChars="0"/>
              <w:jc w:val="center"/>
              <w:rPr>
                <w:sz w:val="28"/>
                <w:szCs w:val="21"/>
              </w:rPr>
            </w:pPr>
            <w:r>
              <w:rPr>
                <w:sz w:val="28"/>
                <w:szCs w:val="21"/>
              </w:rPr>
              <w:t>59069</w:t>
            </w:r>
          </w:p>
        </w:tc>
        <w:tc>
          <w:tcPr>
            <w:tcW w:w="708" w:type="pct"/>
            <w:vAlign w:val="center"/>
          </w:tcPr>
          <w:p>
            <w:pPr>
              <w:ind w:firstLine="0" w:firstLineChars="0"/>
              <w:jc w:val="center"/>
              <w:rPr>
                <w:sz w:val="28"/>
                <w:szCs w:val="21"/>
              </w:rPr>
            </w:pPr>
            <w:r>
              <w:rPr>
                <w:sz w:val="28"/>
                <w:szCs w:val="21"/>
              </w:rPr>
              <w:t>58880</w:t>
            </w:r>
          </w:p>
        </w:tc>
        <w:tc>
          <w:tcPr>
            <w:tcW w:w="708" w:type="pct"/>
            <w:vAlign w:val="center"/>
          </w:tcPr>
          <w:p>
            <w:pPr>
              <w:ind w:firstLine="0" w:firstLineChars="0"/>
              <w:jc w:val="center"/>
              <w:rPr>
                <w:sz w:val="28"/>
                <w:szCs w:val="21"/>
              </w:rPr>
            </w:pPr>
            <w:r>
              <w:rPr>
                <w:sz w:val="28"/>
                <w:szCs w:val="21"/>
              </w:rPr>
              <w:t>45002</w:t>
            </w:r>
          </w:p>
        </w:tc>
        <w:tc>
          <w:tcPr>
            <w:tcW w:w="710" w:type="pct"/>
            <w:vAlign w:val="center"/>
          </w:tcPr>
          <w:p>
            <w:pPr>
              <w:ind w:firstLine="0" w:firstLineChars="0"/>
              <w:jc w:val="center"/>
              <w:rPr>
                <w:sz w:val="28"/>
                <w:szCs w:val="21"/>
              </w:rPr>
            </w:pPr>
            <w:r>
              <w:rPr>
                <w:sz w:val="28"/>
                <w:szCs w:val="21"/>
              </w:rPr>
              <w:t>51418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57" w:type="pct"/>
            <w:vAlign w:val="center"/>
          </w:tcPr>
          <w:p>
            <w:pPr>
              <w:ind w:firstLine="0" w:firstLineChars="0"/>
              <w:jc w:val="both"/>
              <w:rPr>
                <w:sz w:val="28"/>
                <w:szCs w:val="21"/>
              </w:rPr>
            </w:pPr>
            <w:r>
              <w:rPr>
                <w:sz w:val="28"/>
                <w:szCs w:val="21"/>
              </w:rPr>
              <w:t>其中：一级建造师</w:t>
            </w:r>
          </w:p>
        </w:tc>
        <w:tc>
          <w:tcPr>
            <w:tcW w:w="708" w:type="pct"/>
            <w:vAlign w:val="center"/>
          </w:tcPr>
          <w:p>
            <w:pPr>
              <w:ind w:firstLine="0" w:firstLineChars="0"/>
              <w:jc w:val="center"/>
              <w:rPr>
                <w:sz w:val="28"/>
                <w:szCs w:val="21"/>
              </w:rPr>
            </w:pPr>
            <w:r>
              <w:rPr>
                <w:sz w:val="28"/>
                <w:szCs w:val="21"/>
              </w:rPr>
              <w:t>14379</w:t>
            </w:r>
          </w:p>
        </w:tc>
        <w:tc>
          <w:tcPr>
            <w:tcW w:w="708" w:type="pct"/>
            <w:vAlign w:val="center"/>
          </w:tcPr>
          <w:p>
            <w:pPr>
              <w:ind w:firstLine="0" w:firstLineChars="0"/>
              <w:jc w:val="center"/>
              <w:rPr>
                <w:sz w:val="28"/>
                <w:szCs w:val="21"/>
              </w:rPr>
            </w:pPr>
            <w:r>
              <w:rPr>
                <w:rFonts w:hint="eastAsia"/>
                <w:sz w:val="28"/>
                <w:szCs w:val="21"/>
              </w:rPr>
              <w:t>1</w:t>
            </w:r>
            <w:r>
              <w:rPr>
                <w:sz w:val="28"/>
                <w:szCs w:val="21"/>
              </w:rPr>
              <w:t>5358</w:t>
            </w:r>
          </w:p>
        </w:tc>
        <w:tc>
          <w:tcPr>
            <w:tcW w:w="708" w:type="pct"/>
            <w:vAlign w:val="center"/>
          </w:tcPr>
          <w:p>
            <w:pPr>
              <w:ind w:firstLine="0" w:firstLineChars="0"/>
              <w:jc w:val="center"/>
              <w:rPr>
                <w:sz w:val="28"/>
                <w:szCs w:val="21"/>
              </w:rPr>
            </w:pPr>
            <w:r>
              <w:rPr>
                <w:rFonts w:hint="eastAsia"/>
                <w:sz w:val="28"/>
                <w:szCs w:val="21"/>
              </w:rPr>
              <w:t>1</w:t>
            </w:r>
            <w:r>
              <w:rPr>
                <w:sz w:val="28"/>
                <w:szCs w:val="21"/>
              </w:rPr>
              <w:t>5898</w:t>
            </w:r>
          </w:p>
        </w:tc>
        <w:tc>
          <w:tcPr>
            <w:tcW w:w="708" w:type="pct"/>
            <w:vAlign w:val="center"/>
          </w:tcPr>
          <w:p>
            <w:pPr>
              <w:ind w:firstLine="0" w:firstLineChars="0"/>
              <w:jc w:val="center"/>
              <w:rPr>
                <w:sz w:val="28"/>
                <w:szCs w:val="21"/>
              </w:rPr>
            </w:pPr>
            <w:r>
              <w:rPr>
                <w:sz w:val="28"/>
                <w:szCs w:val="21"/>
              </w:rPr>
              <w:t>13076</w:t>
            </w:r>
          </w:p>
        </w:tc>
        <w:tc>
          <w:tcPr>
            <w:tcW w:w="710" w:type="pct"/>
            <w:vAlign w:val="center"/>
          </w:tcPr>
          <w:p>
            <w:pPr>
              <w:ind w:firstLine="0" w:firstLineChars="0"/>
              <w:jc w:val="center"/>
              <w:rPr>
                <w:sz w:val="28"/>
                <w:szCs w:val="21"/>
              </w:rPr>
            </w:pPr>
            <w:r>
              <w:rPr>
                <w:sz w:val="28"/>
                <w:szCs w:val="21"/>
              </w:rPr>
              <w:t>16387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57" w:type="pct"/>
            <w:vAlign w:val="center"/>
          </w:tcPr>
          <w:p>
            <w:pPr>
              <w:ind w:firstLine="0" w:firstLineChars="0"/>
              <w:jc w:val="center"/>
              <w:rPr>
                <w:sz w:val="28"/>
                <w:szCs w:val="21"/>
              </w:rPr>
            </w:pPr>
            <w:r>
              <w:rPr>
                <w:rFonts w:hint="eastAsia"/>
                <w:sz w:val="28"/>
                <w:szCs w:val="21"/>
                <w:lang w:val="en-US" w:eastAsia="zh-CN"/>
              </w:rPr>
              <w:t xml:space="preserve">    </w:t>
            </w:r>
            <w:r>
              <w:rPr>
                <w:sz w:val="28"/>
                <w:szCs w:val="21"/>
              </w:rPr>
              <w:t>二级建造师</w:t>
            </w:r>
          </w:p>
        </w:tc>
        <w:tc>
          <w:tcPr>
            <w:tcW w:w="708" w:type="pct"/>
            <w:vAlign w:val="center"/>
          </w:tcPr>
          <w:p>
            <w:pPr>
              <w:ind w:firstLine="0" w:firstLineChars="0"/>
              <w:jc w:val="center"/>
              <w:rPr>
                <w:sz w:val="28"/>
                <w:szCs w:val="21"/>
              </w:rPr>
            </w:pPr>
            <w:r>
              <w:rPr>
                <w:sz w:val="28"/>
                <w:szCs w:val="21"/>
              </w:rPr>
              <w:t>44566</w:t>
            </w:r>
          </w:p>
        </w:tc>
        <w:tc>
          <w:tcPr>
            <w:tcW w:w="708" w:type="pct"/>
            <w:vAlign w:val="center"/>
          </w:tcPr>
          <w:p>
            <w:pPr>
              <w:ind w:firstLine="0" w:firstLineChars="0"/>
              <w:jc w:val="center"/>
              <w:rPr>
                <w:sz w:val="28"/>
                <w:szCs w:val="21"/>
              </w:rPr>
            </w:pPr>
            <w:r>
              <w:rPr>
                <w:rFonts w:hint="eastAsia"/>
                <w:sz w:val="28"/>
                <w:szCs w:val="21"/>
              </w:rPr>
              <w:t>4</w:t>
            </w:r>
            <w:r>
              <w:rPr>
                <w:sz w:val="28"/>
                <w:szCs w:val="21"/>
              </w:rPr>
              <w:t>3711</w:t>
            </w:r>
          </w:p>
        </w:tc>
        <w:tc>
          <w:tcPr>
            <w:tcW w:w="708" w:type="pct"/>
            <w:vAlign w:val="center"/>
          </w:tcPr>
          <w:p>
            <w:pPr>
              <w:ind w:firstLine="0" w:firstLineChars="0"/>
              <w:jc w:val="center"/>
              <w:rPr>
                <w:sz w:val="28"/>
                <w:szCs w:val="21"/>
              </w:rPr>
            </w:pPr>
            <w:r>
              <w:rPr>
                <w:rFonts w:hint="eastAsia"/>
                <w:sz w:val="28"/>
                <w:szCs w:val="21"/>
              </w:rPr>
              <w:t>4</w:t>
            </w:r>
            <w:r>
              <w:rPr>
                <w:sz w:val="28"/>
                <w:szCs w:val="21"/>
              </w:rPr>
              <w:t>2982</w:t>
            </w:r>
          </w:p>
        </w:tc>
        <w:tc>
          <w:tcPr>
            <w:tcW w:w="708" w:type="pct"/>
            <w:vAlign w:val="center"/>
          </w:tcPr>
          <w:p>
            <w:pPr>
              <w:ind w:firstLine="0" w:firstLineChars="0"/>
              <w:jc w:val="center"/>
              <w:rPr>
                <w:sz w:val="28"/>
                <w:szCs w:val="21"/>
              </w:rPr>
            </w:pPr>
            <w:r>
              <w:rPr>
                <w:sz w:val="28"/>
                <w:szCs w:val="21"/>
              </w:rPr>
              <w:t>31926</w:t>
            </w:r>
          </w:p>
        </w:tc>
        <w:tc>
          <w:tcPr>
            <w:tcW w:w="710" w:type="pct"/>
            <w:vAlign w:val="center"/>
          </w:tcPr>
          <w:p>
            <w:pPr>
              <w:ind w:firstLine="0" w:firstLineChars="0"/>
              <w:jc w:val="center"/>
              <w:rPr>
                <w:sz w:val="28"/>
                <w:szCs w:val="21"/>
              </w:rPr>
            </w:pPr>
            <w:r>
              <w:rPr>
                <w:sz w:val="28"/>
                <w:szCs w:val="21"/>
              </w:rPr>
              <w:t>35031</w:t>
            </w:r>
          </w:p>
        </w:tc>
      </w:tr>
      <w:bookmarkEnd w:id="25"/>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57" w:type="pct"/>
            <w:vAlign w:val="center"/>
          </w:tcPr>
          <w:p>
            <w:pPr>
              <w:ind w:firstLine="0" w:firstLineChars="0"/>
              <w:rPr>
                <w:sz w:val="28"/>
                <w:szCs w:val="21"/>
              </w:rPr>
            </w:pPr>
            <w:r>
              <w:rPr>
                <w:sz w:val="28"/>
                <w:szCs w:val="21"/>
              </w:rPr>
              <w:t>注册监理工程师</w:t>
            </w:r>
          </w:p>
        </w:tc>
        <w:tc>
          <w:tcPr>
            <w:tcW w:w="708" w:type="pct"/>
            <w:vAlign w:val="center"/>
          </w:tcPr>
          <w:p>
            <w:pPr>
              <w:ind w:firstLine="0" w:firstLineChars="0"/>
              <w:jc w:val="center"/>
              <w:rPr>
                <w:sz w:val="28"/>
                <w:szCs w:val="21"/>
              </w:rPr>
            </w:pPr>
            <w:r>
              <w:rPr>
                <w:sz w:val="28"/>
                <w:szCs w:val="21"/>
              </w:rPr>
              <w:t>3331</w:t>
            </w:r>
          </w:p>
        </w:tc>
        <w:tc>
          <w:tcPr>
            <w:tcW w:w="708" w:type="pct"/>
            <w:vAlign w:val="center"/>
          </w:tcPr>
          <w:p>
            <w:pPr>
              <w:ind w:firstLine="0" w:firstLineChars="0"/>
              <w:jc w:val="center"/>
              <w:rPr>
                <w:sz w:val="28"/>
                <w:szCs w:val="21"/>
              </w:rPr>
            </w:pPr>
            <w:r>
              <w:rPr>
                <w:sz w:val="28"/>
                <w:szCs w:val="21"/>
              </w:rPr>
              <w:t>3982</w:t>
            </w:r>
          </w:p>
        </w:tc>
        <w:tc>
          <w:tcPr>
            <w:tcW w:w="708" w:type="pct"/>
            <w:vAlign w:val="center"/>
          </w:tcPr>
          <w:p>
            <w:pPr>
              <w:ind w:firstLine="0" w:firstLineChars="0"/>
              <w:jc w:val="center"/>
              <w:rPr>
                <w:sz w:val="28"/>
                <w:szCs w:val="21"/>
              </w:rPr>
            </w:pPr>
            <w:r>
              <w:rPr>
                <w:sz w:val="28"/>
                <w:szCs w:val="21"/>
              </w:rPr>
              <w:t>4634</w:t>
            </w:r>
          </w:p>
        </w:tc>
        <w:tc>
          <w:tcPr>
            <w:tcW w:w="708" w:type="pct"/>
            <w:vAlign w:val="center"/>
          </w:tcPr>
          <w:p>
            <w:pPr>
              <w:ind w:firstLine="0" w:firstLineChars="0"/>
              <w:jc w:val="center"/>
              <w:rPr>
                <w:sz w:val="28"/>
                <w:szCs w:val="21"/>
              </w:rPr>
            </w:pPr>
            <w:r>
              <w:rPr>
                <w:sz w:val="28"/>
                <w:szCs w:val="21"/>
              </w:rPr>
              <w:t>4175</w:t>
            </w:r>
          </w:p>
        </w:tc>
        <w:tc>
          <w:tcPr>
            <w:tcW w:w="710" w:type="pct"/>
            <w:vAlign w:val="center"/>
          </w:tcPr>
          <w:p>
            <w:pPr>
              <w:ind w:firstLine="0" w:firstLineChars="0"/>
              <w:jc w:val="center"/>
              <w:rPr>
                <w:sz w:val="28"/>
                <w:szCs w:val="21"/>
              </w:rPr>
            </w:pPr>
            <w:r>
              <w:rPr>
                <w:sz w:val="28"/>
                <w:szCs w:val="21"/>
              </w:rPr>
              <w:t>4546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57" w:type="pct"/>
            <w:vAlign w:val="center"/>
          </w:tcPr>
          <w:p>
            <w:pPr>
              <w:ind w:firstLine="0" w:firstLineChars="0"/>
              <w:rPr>
                <w:sz w:val="28"/>
                <w:szCs w:val="21"/>
              </w:rPr>
            </w:pPr>
            <w:r>
              <w:rPr>
                <w:sz w:val="28"/>
                <w:szCs w:val="21"/>
              </w:rPr>
              <w:t>注册造价工程师</w:t>
            </w:r>
          </w:p>
        </w:tc>
        <w:tc>
          <w:tcPr>
            <w:tcW w:w="708" w:type="pct"/>
            <w:vAlign w:val="center"/>
          </w:tcPr>
          <w:p>
            <w:pPr>
              <w:ind w:firstLine="0" w:firstLineChars="0"/>
              <w:jc w:val="center"/>
              <w:rPr>
                <w:sz w:val="28"/>
                <w:szCs w:val="21"/>
              </w:rPr>
            </w:pPr>
            <w:r>
              <w:rPr>
                <w:sz w:val="28"/>
                <w:szCs w:val="21"/>
              </w:rPr>
              <w:t>4081</w:t>
            </w:r>
          </w:p>
        </w:tc>
        <w:tc>
          <w:tcPr>
            <w:tcW w:w="708" w:type="pct"/>
            <w:vAlign w:val="center"/>
          </w:tcPr>
          <w:p>
            <w:pPr>
              <w:ind w:firstLine="0" w:firstLineChars="0"/>
              <w:jc w:val="center"/>
              <w:rPr>
                <w:sz w:val="28"/>
                <w:szCs w:val="21"/>
              </w:rPr>
            </w:pPr>
            <w:r>
              <w:rPr>
                <w:sz w:val="28"/>
                <w:szCs w:val="21"/>
              </w:rPr>
              <w:t>4184</w:t>
            </w:r>
          </w:p>
        </w:tc>
        <w:tc>
          <w:tcPr>
            <w:tcW w:w="708" w:type="pct"/>
            <w:vAlign w:val="center"/>
          </w:tcPr>
          <w:p>
            <w:pPr>
              <w:ind w:firstLine="0" w:firstLineChars="0"/>
              <w:jc w:val="center"/>
              <w:rPr>
                <w:sz w:val="28"/>
                <w:szCs w:val="21"/>
              </w:rPr>
            </w:pPr>
            <w:r>
              <w:rPr>
                <w:sz w:val="28"/>
                <w:szCs w:val="21"/>
              </w:rPr>
              <w:t>4192</w:t>
            </w:r>
          </w:p>
        </w:tc>
        <w:tc>
          <w:tcPr>
            <w:tcW w:w="708" w:type="pct"/>
            <w:vAlign w:val="center"/>
          </w:tcPr>
          <w:p>
            <w:pPr>
              <w:ind w:firstLine="0" w:firstLineChars="0"/>
              <w:jc w:val="center"/>
              <w:rPr>
                <w:sz w:val="28"/>
                <w:szCs w:val="21"/>
              </w:rPr>
            </w:pPr>
            <w:r>
              <w:rPr>
                <w:sz w:val="28"/>
                <w:szCs w:val="21"/>
              </w:rPr>
              <w:t>4180</w:t>
            </w:r>
          </w:p>
        </w:tc>
        <w:tc>
          <w:tcPr>
            <w:tcW w:w="710" w:type="pct"/>
            <w:vAlign w:val="center"/>
          </w:tcPr>
          <w:p>
            <w:pPr>
              <w:ind w:firstLine="0" w:firstLineChars="0"/>
              <w:jc w:val="center"/>
              <w:rPr>
                <w:sz w:val="28"/>
                <w:szCs w:val="21"/>
              </w:rPr>
            </w:pPr>
            <w:r>
              <w:rPr>
                <w:sz w:val="28"/>
                <w:szCs w:val="21"/>
              </w:rPr>
              <w:t>5100</w:t>
            </w:r>
          </w:p>
        </w:tc>
      </w:tr>
    </w:tbl>
    <w:p>
      <w:pPr>
        <w:ind w:firstLine="640"/>
      </w:pPr>
    </w:p>
    <w:p>
      <w:pPr>
        <w:pStyle w:val="4"/>
        <w:ind w:firstLine="643"/>
      </w:pPr>
      <w:bookmarkStart w:id="26" w:name="_Toc986"/>
      <w:bookmarkStart w:id="27" w:name="_Toc31762"/>
      <w:bookmarkStart w:id="28" w:name="_Toc65746604"/>
      <w:bookmarkStart w:id="29" w:name="_Toc31311"/>
      <w:bookmarkStart w:id="30" w:name="_Toc91149463"/>
      <w:bookmarkStart w:id="31" w:name="_Toc66457108"/>
      <w:r>
        <w:rPr>
          <w:rFonts w:hint="eastAsia"/>
        </w:rPr>
        <w:t>3．工程建造水平不断</w:t>
      </w:r>
      <w:bookmarkEnd w:id="26"/>
      <w:bookmarkEnd w:id="27"/>
      <w:bookmarkEnd w:id="28"/>
      <w:bookmarkEnd w:id="29"/>
      <w:r>
        <w:rPr>
          <w:rFonts w:hint="eastAsia"/>
        </w:rPr>
        <w:t>提高</w:t>
      </w:r>
      <w:bookmarkEnd w:id="30"/>
      <w:bookmarkEnd w:id="31"/>
    </w:p>
    <w:p>
      <w:pPr>
        <w:ind w:firstLine="640"/>
        <w:rPr>
          <w:rFonts w:ascii="方正仿宋_GBK" w:cs="方正仿宋_GBK"/>
          <w:color w:val="000000" w:themeColor="text1"/>
          <w:szCs w:val="32"/>
          <w14:textFill>
            <w14:solidFill>
              <w14:schemeClr w14:val="tx1"/>
            </w14:solidFill>
          </w14:textFill>
        </w:rPr>
      </w:pPr>
      <w:r>
        <w:rPr>
          <w:rFonts w:hint="eastAsia" w:ascii="方正仿宋_GBK" w:cs="方正仿宋_GBK"/>
          <w:color w:val="000000" w:themeColor="text1"/>
          <w:szCs w:val="32"/>
          <w14:textFill>
            <w14:solidFill>
              <w14:schemeClr w14:val="tx1"/>
            </w14:solidFill>
          </w14:textFill>
        </w:rPr>
        <w:t>“十三五”期间，</w:t>
      </w:r>
      <w:r>
        <w:rPr>
          <w:color w:val="000000" w:themeColor="text1"/>
          <w:szCs w:val="32"/>
          <w14:textFill>
            <w14:solidFill>
              <w14:schemeClr w14:val="tx1"/>
            </w14:solidFill>
          </w14:textFill>
        </w:rPr>
        <w:t>累计编制市级工法</w:t>
      </w:r>
      <w:r>
        <w:rPr>
          <w:rFonts w:hint="eastAsia"/>
          <w:color w:val="000000" w:themeColor="text1"/>
          <w:szCs w:val="32"/>
          <w14:textFill>
            <w14:solidFill>
              <w14:schemeClr w14:val="tx1"/>
            </w14:solidFill>
          </w14:textFill>
        </w:rPr>
        <w:t>621</w:t>
      </w:r>
      <w:r>
        <w:rPr>
          <w:color w:val="000000" w:themeColor="text1"/>
          <w:szCs w:val="32"/>
          <w14:textFill>
            <w14:solidFill>
              <w14:schemeClr w14:val="tx1"/>
            </w14:solidFill>
          </w14:textFill>
        </w:rPr>
        <w:t>项，</w:t>
      </w:r>
      <w:r>
        <w:rPr>
          <w:rFonts w:hint="eastAsia"/>
          <w:color w:val="000000" w:themeColor="text1"/>
          <w:szCs w:val="32"/>
          <w14:textFill>
            <w14:solidFill>
              <w14:schemeClr w14:val="tx1"/>
            </w14:solidFill>
          </w14:textFill>
        </w:rPr>
        <w:t>并在工程项目建设过程中予以推广转化，已累计应用项目1200余个</w:t>
      </w:r>
      <w:r>
        <w:rPr>
          <w:color w:val="000000" w:themeColor="text1"/>
          <w:szCs w:val="32"/>
          <w14:textFill>
            <w14:solidFill>
              <w14:schemeClr w14:val="tx1"/>
            </w14:solidFill>
          </w14:textFill>
        </w:rPr>
        <w:t>。</w:t>
      </w:r>
      <w:r>
        <w:rPr>
          <w:rFonts w:hint="eastAsia"/>
          <w:color w:val="000000" w:themeColor="text1"/>
          <w:szCs w:val="32"/>
          <w14:textFill>
            <w14:solidFill>
              <w14:schemeClr w14:val="tx1"/>
            </w14:solidFill>
          </w14:textFill>
        </w:rPr>
        <w:t>地方标准立项268项，</w:t>
      </w:r>
      <w:r>
        <w:rPr>
          <w:color w:val="000000" w:themeColor="text1"/>
          <w:szCs w:val="32"/>
          <w14:textFill>
            <w14:solidFill>
              <w14:schemeClr w14:val="tx1"/>
            </w14:solidFill>
          </w14:textFill>
        </w:rPr>
        <w:t>编制</w:t>
      </w:r>
      <w:r>
        <w:rPr>
          <w:rFonts w:hint="eastAsia"/>
          <w:color w:val="000000" w:themeColor="text1"/>
          <w:szCs w:val="32"/>
          <w14:textFill>
            <w14:solidFill>
              <w14:schemeClr w14:val="tx1"/>
            </w14:solidFill>
          </w14:textFill>
        </w:rPr>
        <w:t>发布</w:t>
      </w:r>
      <w:r>
        <w:rPr>
          <w:color w:val="000000" w:themeColor="text1"/>
          <w:szCs w:val="32"/>
          <w14:textFill>
            <w14:solidFill>
              <w14:schemeClr w14:val="tx1"/>
            </w14:solidFill>
          </w14:textFill>
        </w:rPr>
        <w:t>174项，</w:t>
      </w:r>
      <w:r>
        <w:rPr>
          <w:rFonts w:hint="eastAsia"/>
          <w:color w:val="000000" w:themeColor="text1"/>
          <w:szCs w:val="32"/>
          <w14:textFill>
            <w14:solidFill>
              <w14:schemeClr w14:val="tx1"/>
            </w14:solidFill>
          </w14:textFill>
        </w:rPr>
        <w:t>涵盖轨道交通、海绵城市、节能绿建、信息化技术等多个领域。</w:t>
      </w:r>
      <w:r>
        <w:rPr>
          <w:color w:val="000000" w:themeColor="text1"/>
          <w:szCs w:val="32"/>
          <w14:textFill>
            <w14:solidFill>
              <w14:schemeClr w14:val="tx1"/>
            </w14:solidFill>
          </w14:textFill>
        </w:rPr>
        <w:t>新技术、新材料、新工艺、新设备等</w:t>
      </w:r>
      <w:r>
        <w:rPr>
          <w:rFonts w:hint="eastAsia"/>
          <w:color w:val="000000" w:themeColor="text1"/>
          <w:szCs w:val="32"/>
          <w14:textFill>
            <w14:solidFill>
              <w14:schemeClr w14:val="tx1"/>
            </w14:solidFill>
          </w14:textFill>
        </w:rPr>
        <w:t>“</w:t>
      </w:r>
      <w:r>
        <w:rPr>
          <w:color w:val="000000" w:themeColor="text1"/>
          <w:szCs w:val="32"/>
          <w14:textFill>
            <w14:solidFill>
              <w14:schemeClr w14:val="tx1"/>
            </w14:solidFill>
          </w14:textFill>
        </w:rPr>
        <w:t>四新技术</w:t>
      </w:r>
      <w:r>
        <w:rPr>
          <w:rFonts w:hint="eastAsia"/>
          <w:color w:val="000000" w:themeColor="text1"/>
          <w:szCs w:val="32"/>
          <w14:textFill>
            <w14:solidFill>
              <w14:schemeClr w14:val="tx1"/>
            </w14:solidFill>
          </w14:textFill>
        </w:rPr>
        <w:t>”</w:t>
      </w:r>
      <w:r>
        <w:rPr>
          <w:color w:val="000000" w:themeColor="text1"/>
          <w:szCs w:val="32"/>
          <w14:textFill>
            <w14:solidFill>
              <w14:schemeClr w14:val="tx1"/>
            </w14:solidFill>
          </w14:textFill>
        </w:rPr>
        <w:t>应用规模不断扩大，铝合金模板工程应用</w:t>
      </w:r>
      <w:r>
        <w:rPr>
          <w:rFonts w:hint="eastAsia"/>
          <w:color w:val="000000" w:themeColor="text1"/>
          <w:szCs w:val="32"/>
          <w14:textFill>
            <w14:solidFill>
              <w14:schemeClr w14:val="tx1"/>
            </w14:solidFill>
          </w14:textFill>
        </w:rPr>
        <w:t>面积</w:t>
      </w:r>
      <w:r>
        <w:rPr>
          <w:color w:val="000000" w:themeColor="text1"/>
          <w:szCs w:val="32"/>
          <w14:textFill>
            <w14:solidFill>
              <w14:schemeClr w14:val="tx1"/>
            </w14:solidFill>
          </w14:textFill>
        </w:rPr>
        <w:t>达3000</w:t>
      </w:r>
      <w:r>
        <w:rPr>
          <w:rFonts w:hint="eastAsia"/>
          <w:color w:val="000000" w:themeColor="text1"/>
          <w:szCs w:val="32"/>
          <w14:textFill>
            <w14:solidFill>
              <w14:schemeClr w14:val="tx1"/>
            </w14:solidFill>
          </w14:textFill>
        </w:rPr>
        <w:t>余万</w:t>
      </w:r>
      <w:r>
        <w:rPr>
          <w:rFonts w:hint="eastAsia" w:cstheme="minorBidi"/>
          <w:color w:val="000000" w:themeColor="text1"/>
          <w:szCs w:val="32"/>
          <w14:textFill>
            <w14:solidFill>
              <w14:schemeClr w14:val="tx1"/>
            </w14:solidFill>
          </w14:textFill>
        </w:rPr>
        <w:t>平方米</w:t>
      </w:r>
      <w:r>
        <w:rPr>
          <w:color w:val="000000" w:themeColor="text1"/>
          <w:szCs w:val="32"/>
          <w14:textFill>
            <w14:solidFill>
              <w14:schemeClr w14:val="tx1"/>
            </w14:solidFill>
          </w14:textFill>
        </w:rPr>
        <w:t>，钢筋加工配送产</w:t>
      </w:r>
      <w:r>
        <w:rPr>
          <w:rFonts w:hint="eastAsia"/>
          <w:color w:val="000000" w:themeColor="text1"/>
          <w:szCs w:val="32"/>
          <w14:textFill>
            <w14:solidFill>
              <w14:schemeClr w14:val="tx1"/>
            </w14:solidFill>
          </w14:textFill>
        </w:rPr>
        <w:t>量</w:t>
      </w:r>
      <w:r>
        <w:rPr>
          <w:color w:val="000000" w:themeColor="text1"/>
          <w:szCs w:val="32"/>
          <w14:textFill>
            <w14:solidFill>
              <w14:schemeClr w14:val="tx1"/>
            </w14:solidFill>
          </w14:textFill>
        </w:rPr>
        <w:t>规模达</w:t>
      </w:r>
      <w:r>
        <w:rPr>
          <w:rFonts w:hint="eastAsia"/>
          <w:color w:val="000000" w:themeColor="text1"/>
          <w:szCs w:val="32"/>
          <w14:textFill>
            <w14:solidFill>
              <w14:schemeClr w14:val="tx1"/>
            </w14:solidFill>
          </w14:textFill>
        </w:rPr>
        <w:t>50万吨/年</w:t>
      </w:r>
      <w:r>
        <w:rPr>
          <w:color w:val="000000" w:themeColor="text1"/>
          <w:szCs w:val="32"/>
          <w14:textFill>
            <w14:solidFill>
              <w14:schemeClr w14:val="tx1"/>
            </w14:solidFill>
          </w14:textFill>
        </w:rPr>
        <w:t>，处于全国领先水平。工程建造技术水平不断提高，</w:t>
      </w:r>
      <w:r>
        <w:rPr>
          <w:rFonts w:hint="eastAsia"/>
          <w:color w:val="000000" w:themeColor="text1"/>
          <w:szCs w:val="32"/>
          <w14:textFill>
            <w14:solidFill>
              <w14:schemeClr w14:val="tx1"/>
            </w14:solidFill>
          </w14:textFill>
        </w:rPr>
        <w:t>我市企业参与建设港珠澳大桥、迪拜阿拉马克图姆机场等国内国际重大工程项目。市内轨道交通、江北机场T3航站楼等重大工程陆续建设，</w:t>
      </w:r>
      <w:r>
        <w:rPr>
          <w:color w:val="000000" w:themeColor="text1"/>
          <w:szCs w:val="32"/>
          <w14:textFill>
            <w14:solidFill>
              <w14:schemeClr w14:val="tx1"/>
            </w14:solidFill>
          </w14:textFill>
        </w:rPr>
        <w:t>精品工程数量逐年增加，</w:t>
      </w:r>
      <w:r>
        <w:rPr>
          <w:rFonts w:hint="eastAsia"/>
          <w:color w:val="000000" w:themeColor="text1"/>
          <w:szCs w:val="32"/>
          <w14:textFill>
            <w14:solidFill>
              <w14:schemeClr w14:val="tx1"/>
            </w14:solidFill>
          </w14:textFill>
        </w:rPr>
        <w:t>“十三五”期间荣</w:t>
      </w:r>
      <w:r>
        <w:rPr>
          <w:color w:val="000000" w:themeColor="text1"/>
          <w:szCs w:val="32"/>
          <w14:textFill>
            <w14:solidFill>
              <w14:schemeClr w14:val="tx1"/>
            </w14:solidFill>
          </w14:textFill>
        </w:rPr>
        <w:t>获中国建设工程鲁班奖1</w:t>
      </w:r>
      <w:r>
        <w:rPr>
          <w:rFonts w:hint="eastAsia"/>
          <w:color w:val="000000" w:themeColor="text1"/>
          <w:szCs w:val="32"/>
          <w14:textFill>
            <w14:solidFill>
              <w14:schemeClr w14:val="tx1"/>
            </w14:solidFill>
          </w14:textFill>
        </w:rPr>
        <w:t>7</w:t>
      </w:r>
      <w:r>
        <w:rPr>
          <w:color w:val="000000" w:themeColor="text1"/>
          <w:szCs w:val="32"/>
          <w14:textFill>
            <w14:solidFill>
              <w14:schemeClr w14:val="tx1"/>
            </w14:solidFill>
          </w14:textFill>
        </w:rPr>
        <w:t>项、中国土木工程詹天佑奖4项、国家优质工程奖</w:t>
      </w:r>
      <w:r>
        <w:rPr>
          <w:rFonts w:hint="eastAsia"/>
          <w:color w:val="000000" w:themeColor="text1"/>
          <w:szCs w:val="32"/>
          <w14:textFill>
            <w14:solidFill>
              <w14:schemeClr w14:val="tx1"/>
            </w14:solidFill>
          </w14:textFill>
        </w:rPr>
        <w:t>32</w:t>
      </w:r>
      <w:r>
        <w:rPr>
          <w:color w:val="000000" w:themeColor="text1"/>
          <w:szCs w:val="32"/>
          <w14:textFill>
            <w14:solidFill>
              <w14:schemeClr w14:val="tx1"/>
            </w14:solidFill>
          </w14:textFill>
        </w:rPr>
        <w:t>项。</w:t>
      </w:r>
      <w:r>
        <w:rPr>
          <w:rFonts w:hint="eastAsia"/>
          <w:color w:val="000000" w:themeColor="text1"/>
          <w:szCs w:val="32"/>
          <w14:textFill>
            <w14:solidFill>
              <w14:schemeClr w14:val="tx1"/>
            </w14:solidFill>
          </w14:textFill>
        </w:rPr>
        <w:t>绿色建筑标准全面实施，截至“十三五”末，</w:t>
      </w:r>
      <w:r>
        <w:rPr>
          <w:color w:val="000000" w:themeColor="text1"/>
          <w:szCs w:val="32"/>
          <w14:textFill>
            <w14:solidFill>
              <w14:schemeClr w14:val="tx1"/>
            </w14:solidFill>
          </w14:textFill>
        </w:rPr>
        <w:t>新建城镇</w:t>
      </w:r>
      <w:r>
        <w:rPr>
          <w:rFonts w:hint="eastAsia"/>
          <w:color w:val="000000" w:themeColor="text1"/>
          <w:szCs w:val="32"/>
          <w14:textFill>
            <w14:solidFill>
              <w14:schemeClr w14:val="tx1"/>
            </w14:solidFill>
          </w14:textFill>
        </w:rPr>
        <w:t>建筑中绿色</w:t>
      </w:r>
      <w:r>
        <w:rPr>
          <w:color w:val="000000" w:themeColor="text1"/>
          <w:szCs w:val="32"/>
          <w14:textFill>
            <w14:solidFill>
              <w14:schemeClr w14:val="tx1"/>
            </w14:solidFill>
          </w14:textFill>
        </w:rPr>
        <w:t>建筑设计阶段执行比例达95.61%，竣工阶段达57.24%，</w:t>
      </w:r>
      <w:r>
        <w:rPr>
          <w:rFonts w:hint="eastAsia"/>
          <w:color w:val="000000" w:themeColor="text1"/>
          <w:szCs w:val="32"/>
          <w14:textFill>
            <w14:solidFill>
              <w14:schemeClr w14:val="tx1"/>
            </w14:solidFill>
          </w14:textFill>
        </w:rPr>
        <w:t>超额完成国家明确的工作目标和我市绿色建筑“十三五”规划目标</w:t>
      </w:r>
      <w:r>
        <w:rPr>
          <w:color w:val="000000" w:themeColor="text1"/>
          <w:szCs w:val="32"/>
          <w14:textFill>
            <w14:solidFill>
              <w14:schemeClr w14:val="tx1"/>
            </w14:solidFill>
          </w14:textFill>
        </w:rPr>
        <w:t>。</w:t>
      </w:r>
    </w:p>
    <w:p>
      <w:pPr>
        <w:pStyle w:val="4"/>
        <w:ind w:firstLine="643"/>
        <w:rPr>
          <w:color w:val="000000" w:themeColor="text1"/>
          <w14:textFill>
            <w14:solidFill>
              <w14:schemeClr w14:val="tx1"/>
            </w14:solidFill>
          </w14:textFill>
        </w:rPr>
      </w:pPr>
      <w:bookmarkStart w:id="32" w:name="_Toc2116"/>
      <w:bookmarkStart w:id="33" w:name="_Toc65746603"/>
      <w:bookmarkStart w:id="34" w:name="_Toc66457109"/>
      <w:bookmarkStart w:id="35" w:name="_Toc28033"/>
      <w:bookmarkStart w:id="36" w:name="_Toc6552"/>
      <w:bookmarkStart w:id="37" w:name="_Toc91149464"/>
      <w:r>
        <w:rPr>
          <w:rFonts w:hint="eastAsia"/>
          <w:color w:val="000000" w:themeColor="text1"/>
          <w:szCs w:val="22"/>
          <w14:textFill>
            <w14:solidFill>
              <w14:schemeClr w14:val="tx1"/>
            </w14:solidFill>
          </w14:textFill>
        </w:rPr>
        <w:t>4．</w:t>
      </w:r>
      <w:r>
        <w:rPr>
          <w:rFonts w:hint="eastAsia" w:ascii="方正仿宋_GBK" w:cs="方正仿宋_GBK"/>
          <w:color w:val="000000" w:themeColor="text1"/>
          <w14:textFill>
            <w14:solidFill>
              <w14:schemeClr w14:val="tx1"/>
            </w14:solidFill>
          </w14:textFill>
        </w:rPr>
        <w:t>质量安全形势总体稳定受控</w:t>
      </w:r>
      <w:bookmarkEnd w:id="32"/>
      <w:bookmarkEnd w:id="33"/>
      <w:bookmarkEnd w:id="34"/>
      <w:bookmarkEnd w:id="35"/>
      <w:bookmarkEnd w:id="36"/>
      <w:bookmarkEnd w:id="37"/>
    </w:p>
    <w:p>
      <w:pPr>
        <w:ind w:firstLine="640"/>
        <w:rPr>
          <w:rFonts w:ascii="方正仿宋_GBK" w:cs="方正仿宋_GBK" w:hAnsiTheme="minorHAnsi"/>
          <w:b/>
          <w:bCs/>
          <w:color w:val="000000" w:themeColor="text1"/>
          <w:szCs w:val="32"/>
          <w14:textFill>
            <w14:solidFill>
              <w14:schemeClr w14:val="tx1"/>
            </w14:solidFill>
          </w14:textFill>
        </w:rPr>
      </w:pPr>
      <w:r>
        <w:rPr>
          <w:rFonts w:hint="eastAsia" w:ascii="方正仿宋_GBK" w:cs="方正仿宋_GBK"/>
          <w:color w:val="000000" w:themeColor="text1"/>
          <w:szCs w:val="32"/>
          <w14:textFill>
            <w14:solidFill>
              <w14:schemeClr w14:val="tx1"/>
            </w14:solidFill>
          </w14:textFill>
        </w:rPr>
        <w:t>“十三五”期间，重庆市稳步开展工程质量常见问题专项治理，推进工程质量管理标准化，有效遏制了工程质量事故发生</w:t>
      </w:r>
      <w:r>
        <w:rPr>
          <w:color w:val="000000" w:themeColor="text1"/>
          <w:szCs w:val="32"/>
          <w14:textFill>
            <w14:solidFill>
              <w14:schemeClr w14:val="tx1"/>
            </w14:solidFill>
          </w14:textFill>
        </w:rPr>
        <w:t>。</w:t>
      </w:r>
      <w:r>
        <w:rPr>
          <w:rFonts w:hint="eastAsia" w:ascii="方正仿宋_GBK" w:cs="方正仿宋_GBK"/>
          <w:color w:val="000000" w:themeColor="text1"/>
          <w:szCs w:val="32"/>
          <w14:textFill>
            <w14:solidFill>
              <w14:schemeClr w14:val="tx1"/>
            </w14:solidFill>
          </w14:textFill>
        </w:rPr>
        <w:t>积极办理</w:t>
      </w:r>
      <w:r>
        <w:rPr>
          <w:color w:val="000000" w:themeColor="text1"/>
          <w:szCs w:val="32"/>
          <w14:textFill>
            <w14:solidFill>
              <w14:schemeClr w14:val="tx1"/>
            </w14:solidFill>
          </w14:textFill>
        </w:rPr>
        <w:t>群众信访投诉，全市质量监督系统共受理建设工程质量投诉22624件，已办理完毕22615件，</w:t>
      </w:r>
      <w:r>
        <w:rPr>
          <w:rFonts w:hint="eastAsia"/>
          <w:color w:val="000000" w:themeColor="text1"/>
          <w:szCs w:val="32"/>
          <w14:textFill>
            <w14:solidFill>
              <w14:schemeClr w14:val="tx1"/>
            </w14:solidFill>
          </w14:textFill>
        </w:rPr>
        <w:t>按时</w:t>
      </w:r>
      <w:r>
        <w:rPr>
          <w:color w:val="000000" w:themeColor="text1"/>
          <w:szCs w:val="32"/>
          <w14:textFill>
            <w14:solidFill>
              <w14:schemeClr w14:val="tx1"/>
            </w14:solidFill>
          </w14:textFill>
        </w:rPr>
        <w:t>完结率</w:t>
      </w:r>
      <w:r>
        <w:rPr>
          <w:rFonts w:hint="eastAsia"/>
          <w:color w:val="000000" w:themeColor="text1"/>
          <w:szCs w:val="32"/>
          <w14:textFill>
            <w14:solidFill>
              <w14:schemeClr w14:val="tx1"/>
            </w14:solidFill>
          </w14:textFill>
        </w:rPr>
        <w:t>100</w:t>
      </w:r>
      <w:r>
        <w:rPr>
          <w:color w:val="000000" w:themeColor="text1"/>
          <w:szCs w:val="32"/>
          <w14:textFill>
            <w14:solidFill>
              <w14:schemeClr w14:val="tx1"/>
            </w14:solidFill>
          </w14:textFill>
        </w:rPr>
        <w:t>%</w:t>
      </w:r>
      <w:r>
        <w:rPr>
          <w:rFonts w:ascii="方正仿宋_GBK" w:cs="方正仿宋_GBK"/>
          <w:color w:val="000000" w:themeColor="text1"/>
          <w:szCs w:val="32"/>
          <w14:textFill>
            <w14:solidFill>
              <w14:schemeClr w14:val="tx1"/>
            </w14:solidFill>
          </w14:textFill>
        </w:rPr>
        <w:t>。</w:t>
      </w:r>
      <w:r>
        <w:rPr>
          <w:rFonts w:hint="eastAsia" w:ascii="方正仿宋_GBK" w:cs="方正仿宋_GBK"/>
          <w:color w:val="000000" w:themeColor="text1"/>
          <w:szCs w:val="32"/>
          <w14:textFill>
            <w14:solidFill>
              <w14:schemeClr w14:val="tx1"/>
            </w14:solidFill>
          </w14:textFill>
        </w:rPr>
        <w:t>全面开展工程质量安全提升行动，我市房屋市政工程新办理质量监督手续的工程签署“两书”覆盖率为</w:t>
      </w:r>
      <w:r>
        <w:rPr>
          <w:color w:val="000000" w:themeColor="text1"/>
          <w:szCs w:val="32"/>
          <w14:textFill>
            <w14:solidFill>
              <w14:schemeClr w14:val="tx1"/>
            </w14:solidFill>
          </w14:textFill>
        </w:rPr>
        <w:t>100%，新办理竣工验收备案工程设立永久性标牌和建立质量信用档案达到100%</w:t>
      </w:r>
      <w:r>
        <w:rPr>
          <w:rFonts w:hint="eastAsia"/>
          <w:color w:val="000000" w:themeColor="text1"/>
          <w:szCs w:val="32"/>
          <w14:textFill>
            <w14:solidFill>
              <w14:schemeClr w14:val="tx1"/>
            </w14:solidFill>
          </w14:textFill>
        </w:rPr>
        <w:t>，签署法定代表人授权书、工程质量终身责任承诺书的工程10372项，设立永久性标牌的工程8497项</w:t>
      </w:r>
      <w:r>
        <w:rPr>
          <w:rFonts w:hint="eastAsia" w:ascii="方正仿宋_GBK" w:cs="方正仿宋_GBK"/>
          <w:color w:val="000000" w:themeColor="text1"/>
          <w:szCs w:val="32"/>
          <w14:textFill>
            <w14:solidFill>
              <w14:schemeClr w14:val="tx1"/>
            </w14:solidFill>
          </w14:textFill>
        </w:rPr>
        <w:t>。</w:t>
      </w:r>
      <w:r>
        <w:rPr>
          <w:color w:val="000000" w:themeColor="text1"/>
          <w:szCs w:val="32"/>
          <w14:textFill>
            <w14:solidFill>
              <w14:schemeClr w14:val="tx1"/>
            </w14:solidFill>
          </w14:textFill>
        </w:rPr>
        <w:t>扎实开展安全生产专项整治，</w:t>
      </w:r>
      <w:r>
        <w:rPr>
          <w:rFonts w:hint="eastAsia"/>
          <w:color w:val="000000" w:themeColor="text1"/>
          <w:szCs w:val="32"/>
          <w14:textFill>
            <w14:solidFill>
              <w14:schemeClr w14:val="tx1"/>
            </w14:solidFill>
          </w14:textFill>
        </w:rPr>
        <w:t>较大及以上安全生产事故得到基本遏制，自2017年6月至2020年末，</w:t>
      </w:r>
      <w:r>
        <w:rPr>
          <w:color w:val="000000" w:themeColor="text1"/>
          <w:szCs w:val="32"/>
          <w14:textFill>
            <w14:solidFill>
              <w14:schemeClr w14:val="tx1"/>
            </w14:solidFill>
          </w14:textFill>
        </w:rPr>
        <w:t>连续42个月未发生较大及以上</w:t>
      </w:r>
      <w:r>
        <w:rPr>
          <w:rFonts w:hint="eastAsia"/>
          <w:color w:val="000000" w:themeColor="text1"/>
          <w:szCs w:val="32"/>
          <w14:textFill>
            <w14:solidFill>
              <w14:schemeClr w14:val="tx1"/>
            </w14:solidFill>
          </w14:textFill>
        </w:rPr>
        <w:t>安全</w:t>
      </w:r>
      <w:r>
        <w:rPr>
          <w:color w:val="000000" w:themeColor="text1"/>
          <w:szCs w:val="32"/>
          <w14:textFill>
            <w14:solidFill>
              <w14:schemeClr w14:val="tx1"/>
            </w14:solidFill>
          </w14:textFill>
        </w:rPr>
        <w:t>事故。</w:t>
      </w:r>
      <w:r>
        <w:rPr>
          <w:rFonts w:hint="eastAsia"/>
          <w:color w:val="000000" w:themeColor="text1"/>
          <w:szCs w:val="32"/>
          <w14:textFill>
            <w14:solidFill>
              <w14:schemeClr w14:val="tx1"/>
            </w14:solidFill>
          </w14:textFill>
        </w:rPr>
        <w:t>工地形象品质不断提升，出台了《重庆城市建设施工现场文明施工标准》等系列制度，累计整治施工围挡56.1万延</w:t>
      </w:r>
      <w:r>
        <w:rPr>
          <w:color w:val="000000" w:themeColor="text1"/>
          <w:szCs w:val="32"/>
          <w14:textFill>
            <w14:solidFill>
              <w14:schemeClr w14:val="tx1"/>
            </w14:solidFill>
          </w14:textFill>
        </w:rPr>
        <w:t>米</w:t>
      </w:r>
      <w:r>
        <w:rPr>
          <w:rFonts w:hint="eastAsia"/>
          <w:color w:val="000000" w:themeColor="text1"/>
          <w:szCs w:val="32"/>
          <w14:textFill>
            <w14:solidFill>
              <w14:schemeClr w14:val="tx1"/>
            </w14:solidFill>
          </w14:textFill>
        </w:rPr>
        <w:t>，安全网换新约975万平方米，裸土覆盖约1043.8万平方米。全面施行农民工工资专用账户管理及银行代发制度，在全国率先构建了省级工资专户管理网络系统，在线实时监测工资专户资金动态及农民工工资代发情况。“十三五”期间，处置农民工欠薪投诉2625件，帮助13.8万农民工解决欠薪25.8亿元，较“十二五”期间分别下降了63.</w:t>
      </w:r>
      <w:r>
        <w:rPr>
          <w:color w:val="000000" w:themeColor="text1"/>
          <w:szCs w:val="32"/>
          <w14:textFill>
            <w14:solidFill>
              <w14:schemeClr w14:val="tx1"/>
            </w14:solidFill>
          </w14:textFill>
        </w:rPr>
        <w:t>0</w:t>
      </w:r>
      <w:r>
        <w:rPr>
          <w:rFonts w:hint="eastAsia"/>
          <w:color w:val="000000" w:themeColor="text1"/>
          <w:szCs w:val="32"/>
          <w14:textFill>
            <w14:solidFill>
              <w14:schemeClr w14:val="tx1"/>
            </w14:solidFill>
          </w14:textFill>
        </w:rPr>
        <w:t>%、48.4%和23.9%。</w:t>
      </w:r>
    </w:p>
    <w:p>
      <w:pPr>
        <w:pStyle w:val="4"/>
        <w:ind w:firstLine="643"/>
      </w:pPr>
      <w:bookmarkStart w:id="38" w:name="_Toc66457110"/>
      <w:bookmarkStart w:id="39" w:name="_Toc65746600"/>
      <w:bookmarkStart w:id="40" w:name="_Toc26291"/>
      <w:bookmarkStart w:id="41" w:name="_Toc20132"/>
      <w:bookmarkStart w:id="42" w:name="_Toc11331"/>
      <w:bookmarkStart w:id="43" w:name="_Toc91149465"/>
      <w:r>
        <w:rPr>
          <w:rFonts w:hint="eastAsia"/>
        </w:rPr>
        <w:t>5．大数据智能化融合不断深入</w:t>
      </w:r>
      <w:bookmarkEnd w:id="38"/>
      <w:bookmarkEnd w:id="39"/>
      <w:bookmarkEnd w:id="40"/>
      <w:bookmarkEnd w:id="41"/>
      <w:bookmarkEnd w:id="42"/>
      <w:bookmarkEnd w:id="43"/>
    </w:p>
    <w:p>
      <w:pPr>
        <w:ind w:firstLine="640"/>
        <w:rPr>
          <w:color w:val="000000" w:themeColor="text1"/>
          <w:szCs w:val="32"/>
          <w14:textFill>
            <w14:solidFill>
              <w14:schemeClr w14:val="tx1"/>
            </w14:solidFill>
          </w14:textFill>
        </w:rPr>
      </w:pPr>
      <w:r>
        <w:rPr>
          <w:rFonts w:hint="eastAsia" w:ascii="方正仿宋_GBK"/>
          <w:color w:val="000000" w:themeColor="text1"/>
          <w:szCs w:val="32"/>
          <w14:textFill>
            <w14:solidFill>
              <w14:schemeClr w14:val="tx1"/>
            </w14:solidFill>
          </w14:textFill>
        </w:rPr>
        <w:t>“十三五”</w:t>
      </w:r>
      <w:r>
        <w:rPr>
          <w:color w:val="000000" w:themeColor="text1"/>
          <w:szCs w:val="32"/>
          <w14:textFill>
            <w14:solidFill>
              <w14:schemeClr w14:val="tx1"/>
            </w14:solidFill>
          </w14:textFill>
        </w:rPr>
        <w:t>期间，重庆市</w:t>
      </w:r>
      <w:r>
        <w:rPr>
          <w:rFonts w:hint="eastAsia"/>
          <w:color w:val="000000" w:themeColor="text1"/>
          <w:szCs w:val="32"/>
          <w14:textFill>
            <w14:solidFill>
              <w14:schemeClr w14:val="tx1"/>
            </w14:solidFill>
          </w14:textFill>
        </w:rPr>
        <w:t>大力实施以大数据智能化为引领的创新驱动发展战略</w:t>
      </w:r>
      <w:r>
        <w:rPr>
          <w:color w:val="000000" w:themeColor="text1"/>
          <w:szCs w:val="32"/>
          <w14:textFill>
            <w14:solidFill>
              <w14:schemeClr w14:val="tx1"/>
            </w14:solidFill>
          </w14:textFill>
        </w:rPr>
        <w:t>，建成智慧住建云服务平台和行业大数据中心，实现住房城乡建设政务信息系统100%迁移上云，形成约28亿条数据资产，包含工程项目约19万个、企业约2万家、人员约200万人和城建档案数据约3亿条</w:t>
      </w:r>
      <w:r>
        <w:rPr>
          <w:rFonts w:hint="eastAsia"/>
          <w:color w:val="000000" w:themeColor="text1"/>
          <w:szCs w:val="32"/>
          <w14:textFill>
            <w14:solidFill>
              <w14:schemeClr w14:val="tx1"/>
            </w14:solidFill>
          </w14:textFill>
        </w:rPr>
        <w:t>，</w:t>
      </w:r>
      <w:r>
        <w:rPr>
          <w:color w:val="000000" w:themeColor="text1"/>
          <w:szCs w:val="32"/>
          <w14:textFill>
            <w14:solidFill>
              <w14:schemeClr w14:val="tx1"/>
            </w14:solidFill>
          </w14:textFill>
        </w:rPr>
        <w:t>从设计</w:t>
      </w:r>
      <w:r>
        <w:rPr>
          <w:rFonts w:hint="eastAsia"/>
          <w:color w:val="000000" w:themeColor="text1"/>
          <w:szCs w:val="32"/>
          <w14:textFill>
            <w14:solidFill>
              <w14:schemeClr w14:val="tx1"/>
            </w14:solidFill>
          </w14:textFill>
        </w:rPr>
        <w:t>和施工</w:t>
      </w:r>
      <w:r>
        <w:rPr>
          <w:color w:val="000000" w:themeColor="text1"/>
          <w:szCs w:val="32"/>
          <w14:textFill>
            <w14:solidFill>
              <w14:schemeClr w14:val="tx1"/>
            </w14:solidFill>
          </w14:textFill>
        </w:rPr>
        <w:t>阶段推动BIM技术项目</w:t>
      </w:r>
      <w:r>
        <w:rPr>
          <w:rFonts w:hint="eastAsia"/>
          <w:color w:val="000000" w:themeColor="text1"/>
          <w:szCs w:val="32"/>
          <w14:textFill>
            <w14:solidFill>
              <w14:schemeClr w14:val="tx1"/>
            </w14:solidFill>
          </w14:textFill>
        </w:rPr>
        <w:t>1381</w:t>
      </w:r>
      <w:r>
        <w:rPr>
          <w:color w:val="000000" w:themeColor="text1"/>
          <w:szCs w:val="32"/>
          <w14:textFill>
            <w14:solidFill>
              <w14:schemeClr w14:val="tx1"/>
            </w14:solidFill>
          </w14:textFill>
        </w:rPr>
        <w:t>个</w:t>
      </w:r>
      <w:r>
        <w:rPr>
          <w:rFonts w:hint="eastAsia"/>
          <w:color w:val="000000" w:themeColor="text1"/>
          <w:szCs w:val="32"/>
          <w14:textFill>
            <w14:solidFill>
              <w14:schemeClr w14:val="tx1"/>
            </w14:solidFill>
          </w14:textFill>
        </w:rPr>
        <w:t>次。大力开展智慧工地建设</w:t>
      </w:r>
      <w:r>
        <w:rPr>
          <w:color w:val="000000" w:themeColor="text1"/>
          <w:szCs w:val="32"/>
          <w14:textFill>
            <w14:solidFill>
              <w14:schemeClr w14:val="tx1"/>
            </w14:solidFill>
          </w14:textFill>
        </w:rPr>
        <w:t>，</w:t>
      </w:r>
      <w:r>
        <w:rPr>
          <w:rFonts w:hint="eastAsia"/>
          <w:color w:val="000000" w:themeColor="text1"/>
          <w:szCs w:val="32"/>
          <w14:textFill>
            <w14:solidFill>
              <w14:schemeClr w14:val="tx1"/>
            </w14:solidFill>
          </w14:textFill>
        </w:rPr>
        <w:t>构建了覆盖“建设主管部门、企业、工程项目”三级联动的智慧工地管理体系，</w:t>
      </w:r>
      <w:r>
        <w:rPr>
          <w:color w:val="000000" w:themeColor="text1"/>
          <w:szCs w:val="32"/>
          <w14:textFill>
            <w14:solidFill>
              <w14:schemeClr w14:val="tx1"/>
            </w14:solidFill>
          </w14:textFill>
        </w:rPr>
        <w:t>建成智慧工地3330个</w:t>
      </w:r>
      <w:r>
        <w:rPr>
          <w:rFonts w:hint="eastAsia"/>
          <w:color w:val="000000" w:themeColor="text1"/>
          <w:szCs w:val="32"/>
          <w14:textFill>
            <w14:solidFill>
              <w14:schemeClr w14:val="tx1"/>
            </w14:solidFill>
          </w14:textFill>
        </w:rPr>
        <w:t>。建成智慧工地平台，收集建筑从业人员实名制信息129万条、考勤信息4286万条，通过平台报送处理监理报告9750份，对4.9万条工程质量验收记录实施了动态监管，施工过程安全、文明，信息化、精细化和智能化水平不断提升。</w:t>
      </w:r>
    </w:p>
    <w:p>
      <w:pPr>
        <w:pStyle w:val="4"/>
        <w:ind w:firstLine="643"/>
      </w:pPr>
      <w:bookmarkStart w:id="44" w:name="_Toc8825"/>
      <w:bookmarkStart w:id="45" w:name="_Toc8110"/>
      <w:bookmarkStart w:id="46" w:name="_Toc13454"/>
      <w:bookmarkStart w:id="47" w:name="_Toc91149466"/>
      <w:bookmarkStart w:id="48" w:name="_Toc65746602"/>
      <w:bookmarkStart w:id="49" w:name="_Toc66457111"/>
      <w:r>
        <w:rPr>
          <w:rFonts w:hint="eastAsia"/>
        </w:rPr>
        <w:t>6．建筑产业现代化稳步推进</w:t>
      </w:r>
      <w:bookmarkEnd w:id="44"/>
      <w:bookmarkEnd w:id="45"/>
      <w:bookmarkEnd w:id="46"/>
      <w:bookmarkEnd w:id="47"/>
      <w:bookmarkEnd w:id="48"/>
      <w:bookmarkEnd w:id="49"/>
    </w:p>
    <w:p>
      <w:pPr>
        <w:pStyle w:val="2"/>
        <w:rPr>
          <w:rFonts w:hint="eastAsia" w:ascii="Times New Roman" w:hAnsi="Times New Roman" w:eastAsia="方正仿宋_GBK" w:cstheme="minorBidi"/>
          <w:bCs w:val="0"/>
          <w:color w:val="000000" w:themeColor="text1"/>
          <w:kern w:val="2"/>
          <w:sz w:val="32"/>
          <w:szCs w:val="32"/>
          <w:lang w:val="en-US" w:eastAsia="zh-CN" w:bidi="ar-SA"/>
          <w14:textFill>
            <w14:solidFill>
              <w14:schemeClr w14:val="tx1"/>
            </w14:solidFill>
          </w14:textFill>
        </w:rPr>
      </w:pPr>
      <w:r>
        <w:rPr>
          <w:rFonts w:hint="eastAsia" w:ascii="Times New Roman" w:hAnsi="Times New Roman" w:eastAsia="方正仿宋_GBK" w:cstheme="minorBidi"/>
          <w:bCs w:val="0"/>
          <w:color w:val="000000" w:themeColor="text1"/>
          <w:kern w:val="2"/>
          <w:sz w:val="32"/>
          <w:szCs w:val="32"/>
          <w:lang w:val="en-US" w:eastAsia="zh-CN" w:bidi="ar-SA"/>
          <w14:textFill>
            <w14:solidFill>
              <w14:schemeClr w14:val="tx1"/>
            </w14:solidFill>
          </w14:textFill>
        </w:rPr>
        <w:t>“十三五”期间，重庆市不断推进建筑产业现代化发展。成功创建国家级装配式建筑范例城市，实施装配式建筑1500余万平方米，装配式建筑占新建建筑比例达15%以上。发布《重庆市装配式建筑产业发展规划（2018~2025年）》，建立产业培育顶层设计，培育建成6个国家级产业基地、28个市级产业基地。形成混凝土部品部件生产企业16家、年产能235万立方米，钢结构构件生产企业13家、年产能241万吨，内隔墙部品企业19家、年产能2425万平方米的现代建筑产业集群。</w:t>
      </w:r>
    </w:p>
    <w:p>
      <w:pPr>
        <w:pStyle w:val="4"/>
        <w:ind w:firstLine="643"/>
      </w:pPr>
      <w:bookmarkStart w:id="50" w:name="_Toc420"/>
      <w:bookmarkStart w:id="51" w:name="_Toc20279"/>
      <w:bookmarkStart w:id="52" w:name="_Toc66457112"/>
      <w:bookmarkStart w:id="53" w:name="_Toc12817"/>
      <w:bookmarkStart w:id="54" w:name="_Toc65746605"/>
      <w:bookmarkStart w:id="55" w:name="_Toc91149467"/>
      <w:r>
        <w:rPr>
          <w:rFonts w:hint="eastAsia"/>
        </w:rPr>
        <w:t>7．“放管服”改革不断深化</w:t>
      </w:r>
      <w:bookmarkEnd w:id="50"/>
      <w:bookmarkEnd w:id="51"/>
      <w:bookmarkEnd w:id="52"/>
      <w:bookmarkEnd w:id="53"/>
      <w:bookmarkEnd w:id="54"/>
      <w:bookmarkEnd w:id="55"/>
    </w:p>
    <w:p>
      <w:pPr>
        <w:ind w:firstLine="640"/>
        <w:rPr>
          <w:rFonts w:ascii="方正仿宋_GBK" w:cs="方正仿宋_GBK"/>
          <w:color w:val="000000" w:themeColor="text1"/>
          <w:szCs w:val="32"/>
          <w14:textFill>
            <w14:solidFill>
              <w14:schemeClr w14:val="tx1"/>
            </w14:solidFill>
          </w14:textFill>
        </w:rPr>
      </w:pPr>
      <w:r>
        <w:rPr>
          <w:rFonts w:hint="eastAsia" w:ascii="方正仿宋_GBK" w:cs="方正仿宋_GBK"/>
          <w:color w:val="000000" w:themeColor="text1"/>
          <w:szCs w:val="32"/>
          <w14:textFill>
            <w14:solidFill>
              <w14:schemeClr w14:val="tx1"/>
            </w14:solidFill>
          </w14:textFill>
        </w:rPr>
        <w:t>“十三五”期间，建筑业</w:t>
      </w:r>
      <w:r>
        <w:rPr>
          <w:color w:val="000000" w:themeColor="text1"/>
          <w:szCs w:val="32"/>
          <w14:textFill>
            <w14:solidFill>
              <w14:schemeClr w14:val="tx1"/>
            </w14:solidFill>
          </w14:textFill>
        </w:rPr>
        <w:t>简政放权成效显著</w:t>
      </w:r>
      <w:r>
        <w:rPr>
          <w:rFonts w:hint="eastAsia"/>
          <w:color w:val="000000" w:themeColor="text1"/>
          <w:szCs w:val="32"/>
          <w14:textFill>
            <w14:solidFill>
              <w14:schemeClr w14:val="tx1"/>
            </w14:solidFill>
          </w14:textFill>
        </w:rPr>
        <w:t>，重庆市纳入住建部资质审批权限下放试点范围。向两江新区下放建设工程施工许可、建筑施工企业安全生产许可证核发等行政审批事项权力；在自由贸易试验区试点开展部分建设工程企业许可事项“证照分离”改革。</w:t>
      </w:r>
      <w:r>
        <w:rPr>
          <w:rFonts w:hint="eastAsia" w:ascii="方正仿宋_GBK" w:cs="方正仿宋_GBK"/>
          <w:color w:val="000000" w:themeColor="text1"/>
          <w:szCs w:val="32"/>
          <w14:textFill>
            <w14:solidFill>
              <w14:schemeClr w14:val="tx1"/>
            </w14:solidFill>
          </w14:textFill>
        </w:rPr>
        <w:t>审批制度改革不断完善，实现“一个窗口”</w:t>
      </w:r>
      <w:r>
        <w:rPr>
          <w:rFonts w:ascii="方正仿宋_GBK" w:cs="方正仿宋_GBK"/>
          <w:color w:val="000000" w:themeColor="text1"/>
          <w:szCs w:val="32"/>
          <w14:textFill>
            <w14:solidFill>
              <w14:schemeClr w14:val="tx1"/>
            </w14:solidFill>
          </w14:textFill>
        </w:rPr>
        <w:t>接</w:t>
      </w:r>
      <w:r>
        <w:rPr>
          <w:color w:val="000000" w:themeColor="text1"/>
          <w:szCs w:val="32"/>
          <w14:textFill>
            <w14:solidFill>
              <w14:schemeClr w14:val="tx1"/>
            </w14:solidFill>
          </w14:textFill>
        </w:rPr>
        <w:t>件、出件率100%，</w:t>
      </w:r>
      <w:r>
        <w:rPr>
          <w:rFonts w:hint="eastAsia" w:ascii="方正仿宋_GBK"/>
          <w:color w:val="000000" w:themeColor="text1"/>
          <w:szCs w:val="32"/>
          <w14:textFill>
            <w14:solidFill>
              <w14:schemeClr w14:val="tx1"/>
            </w14:solidFill>
          </w14:textFill>
        </w:rPr>
        <w:t>“一张表单”</w:t>
      </w:r>
      <w:r>
        <w:rPr>
          <w:color w:val="000000" w:themeColor="text1"/>
          <w:szCs w:val="32"/>
          <w14:textFill>
            <w14:solidFill>
              <w14:schemeClr w14:val="tx1"/>
            </w14:solidFill>
          </w14:textFill>
        </w:rPr>
        <w:t>落实率100%，审批服务事项及申报材料精简率50%以上，审批时限压缩一半以上。</w:t>
      </w:r>
      <w:r>
        <w:rPr>
          <w:rFonts w:hint="eastAsia" w:ascii="方正仿宋_GBK" w:cs="方正仿宋_GBK"/>
          <w:color w:val="000000" w:themeColor="text1"/>
          <w:szCs w:val="32"/>
          <w14:textFill>
            <w14:solidFill>
              <w14:schemeClr w14:val="tx1"/>
            </w14:solidFill>
          </w14:textFill>
        </w:rPr>
        <w:t>市场诚信监管力度加大，</w:t>
      </w:r>
      <w:r>
        <w:rPr>
          <w:rFonts w:hint="eastAsia" w:ascii="方正仿宋_GBK" w:cs="方正仿宋_GBK"/>
          <w:szCs w:val="32"/>
        </w:rPr>
        <w:t>全市所有施工企业均纳入诚信评价体系，同时出台《重庆市房屋和市政基础设施工程质量检测信用管理办法》，有效规范了市场行为。</w:t>
      </w:r>
      <w:r>
        <w:rPr>
          <w:rFonts w:hint="eastAsia" w:ascii="方正仿宋_GBK" w:cs="方正仿宋_GBK"/>
          <w:color w:val="000000" w:themeColor="text1"/>
          <w:szCs w:val="32"/>
          <w14:textFill>
            <w14:solidFill>
              <w14:schemeClr w14:val="tx1"/>
            </w14:solidFill>
          </w14:textFill>
        </w:rPr>
        <w:t>修订</w:t>
      </w:r>
      <w:r>
        <w:rPr>
          <w:color w:val="000000" w:themeColor="text1"/>
          <w:szCs w:val="32"/>
          <w14:textFill>
            <w14:solidFill>
              <w14:schemeClr w14:val="tx1"/>
            </w14:solidFill>
          </w14:textFill>
        </w:rPr>
        <w:t>《重庆市建设工程造价管理规定》，制定了安全文明施工、分户验收、竣工档案编制等费用标准；出台了建筑安装材料价格风险管理的指导意见、推行施工过程结算、计价依据解释及造价纠纷调解、信息采集发布、推行银行保函方式缴纳农民工工资保证金和建筑领域</w:t>
      </w:r>
      <w:r>
        <w:rPr>
          <w:rFonts w:hint="eastAsia" w:ascii="方正仿宋_GBK"/>
          <w:color w:val="000000" w:themeColor="text1"/>
          <w:szCs w:val="32"/>
          <w14:textFill>
            <w14:solidFill>
              <w14:schemeClr w14:val="tx1"/>
            </w14:solidFill>
          </w14:textFill>
        </w:rPr>
        <w:t>“一金三制”</w:t>
      </w:r>
      <w:r>
        <w:rPr>
          <w:color w:val="000000" w:themeColor="text1"/>
          <w:szCs w:val="32"/>
          <w14:textFill>
            <w14:solidFill>
              <w14:schemeClr w14:val="tx1"/>
            </w14:solidFill>
          </w14:textFill>
        </w:rPr>
        <w:t>等制度，编制了201</w:t>
      </w:r>
      <w:r>
        <w:rPr>
          <w:rFonts w:hint="eastAsia"/>
          <w:color w:val="000000" w:themeColor="text1"/>
          <w:szCs w:val="32"/>
          <w14:textFill>
            <w14:solidFill>
              <w14:schemeClr w14:val="tx1"/>
            </w14:solidFill>
          </w14:textFill>
        </w:rPr>
        <w:t>8</w:t>
      </w:r>
      <w:r>
        <w:rPr>
          <w:color w:val="000000" w:themeColor="text1"/>
          <w:szCs w:val="32"/>
          <w14:textFill>
            <w14:solidFill>
              <w14:schemeClr w14:val="tx1"/>
            </w14:solidFill>
          </w14:textFill>
        </w:rPr>
        <w:t>年计价定额等</w:t>
      </w:r>
      <w:r>
        <w:rPr>
          <w:rFonts w:hint="eastAsia"/>
          <w:color w:val="000000" w:themeColor="text1"/>
          <w:szCs w:val="32"/>
          <w14:textFill>
            <w14:solidFill>
              <w14:schemeClr w14:val="tx1"/>
            </w14:solidFill>
          </w14:textFill>
        </w:rPr>
        <w:t>7部</w:t>
      </w:r>
      <w:r>
        <w:rPr>
          <w:color w:val="000000" w:themeColor="text1"/>
          <w:szCs w:val="32"/>
          <w14:textFill>
            <w14:solidFill>
              <w14:schemeClr w14:val="tx1"/>
            </w14:solidFill>
          </w14:textFill>
        </w:rPr>
        <w:t>计价依据，形成了专业全覆盖和贯穿工程建设全过程的定额体系。造价信息服务转向公益性电子服务，免费向社会发布40个主要人工材料价格成本指标，工程造价服务水平明显提升。</w:t>
      </w:r>
      <w:r>
        <w:rPr>
          <w:rFonts w:hint="eastAsia"/>
          <w:color w:val="000000" w:themeColor="text1"/>
          <w:szCs w:val="32"/>
          <w14:textFill>
            <w14:solidFill>
              <w14:schemeClr w14:val="tx1"/>
            </w14:solidFill>
          </w14:textFill>
        </w:rPr>
        <w:t>实施农民工工资保证金差异化缴纳政策，推行银行保函缴纳制度，实行“告知承诺制”，“十三五”期间，全市建筑领域累计减免工资保证金284.9亿元，切实减轻企业负担，激发市场活力。</w:t>
      </w:r>
    </w:p>
    <w:p>
      <w:pPr>
        <w:pStyle w:val="3"/>
        <w:ind w:firstLine="643"/>
        <w:rPr>
          <w:color w:val="000000" w:themeColor="text1"/>
          <w14:textFill>
            <w14:solidFill>
              <w14:schemeClr w14:val="tx1"/>
            </w14:solidFill>
          </w14:textFill>
        </w:rPr>
      </w:pPr>
      <w:bookmarkStart w:id="56" w:name="_Toc66457113"/>
      <w:bookmarkStart w:id="57" w:name="_Toc308"/>
      <w:bookmarkStart w:id="58" w:name="_Toc1030"/>
      <w:bookmarkStart w:id="59" w:name="_Toc65746606"/>
      <w:bookmarkStart w:id="60" w:name="_Toc91149468"/>
      <w:bookmarkStart w:id="61" w:name="_Toc4181"/>
      <w:r>
        <w:rPr>
          <w:rFonts w:hint="eastAsia"/>
          <w:color w:val="000000" w:themeColor="text1"/>
          <w14:textFill>
            <w14:solidFill>
              <w14:schemeClr w14:val="tx1"/>
            </w14:solidFill>
          </w14:textFill>
        </w:rPr>
        <w:t>（二）存在问题</w:t>
      </w:r>
      <w:bookmarkEnd w:id="56"/>
      <w:bookmarkEnd w:id="57"/>
      <w:bookmarkEnd w:id="58"/>
      <w:bookmarkEnd w:id="59"/>
      <w:bookmarkEnd w:id="60"/>
      <w:bookmarkEnd w:id="61"/>
    </w:p>
    <w:p>
      <w:pPr>
        <w:pStyle w:val="4"/>
        <w:ind w:firstLine="643"/>
      </w:pPr>
      <w:bookmarkStart w:id="62" w:name="_Toc66457114"/>
      <w:bookmarkStart w:id="63" w:name="_Toc91149469"/>
      <w:r>
        <w:t>1</w:t>
      </w:r>
      <w:r>
        <w:rPr>
          <w:rFonts w:hint="eastAsia"/>
        </w:rPr>
        <w:t>．行业建造方式粗放</w:t>
      </w:r>
      <w:bookmarkEnd w:id="62"/>
      <w:bookmarkEnd w:id="63"/>
    </w:p>
    <w:p>
      <w:pPr>
        <w:ind w:firstLine="640"/>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建筑业传统的粗放发展模式没有完全改变，工业化信息化程度较低、装备技术水平不高、科技创新能力不强、高能耗高污染、劳动效率低、建筑品质不高。对照我国实现碳达峰碳中和的目标要求以及高质量发展、生产工业化、建造精细化、管理智能化、产品绿色化的现代建筑产业发展要求，仍然存在不小差距。</w:t>
      </w:r>
    </w:p>
    <w:p>
      <w:pPr>
        <w:pStyle w:val="4"/>
        <w:ind w:firstLine="643"/>
      </w:pPr>
      <w:bookmarkStart w:id="64" w:name="_Toc66457115"/>
      <w:bookmarkStart w:id="65" w:name="_Toc91149470"/>
      <w:r>
        <w:rPr>
          <w:rFonts w:hint="eastAsia"/>
        </w:rPr>
        <w:t>2．</w:t>
      </w:r>
      <w:r>
        <w:t>企业</w:t>
      </w:r>
      <w:r>
        <w:rPr>
          <w:rFonts w:hint="eastAsia"/>
        </w:rPr>
        <w:t>核心竞争力不强</w:t>
      </w:r>
      <w:bookmarkEnd w:id="64"/>
      <w:bookmarkEnd w:id="65"/>
    </w:p>
    <w:p>
      <w:pPr>
        <w:ind w:firstLine="640"/>
        <w:rPr>
          <w:rFonts w:ascii="方正仿宋_GBK" w:hAnsi="黑体"/>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本地建筑业企业</w:t>
      </w:r>
      <w:r>
        <w:rPr>
          <w:color w:val="000000" w:themeColor="text1"/>
          <w:szCs w:val="32"/>
          <w14:textFill>
            <w14:solidFill>
              <w14:schemeClr w14:val="tx1"/>
            </w14:solidFill>
          </w14:textFill>
        </w:rPr>
        <w:t>总数虽大，但高资质企业数量不多。</w:t>
      </w:r>
      <w:r>
        <w:rPr>
          <w:rFonts w:hint="eastAsia" w:ascii="方正仿宋_GBK"/>
          <w:color w:val="000000" w:themeColor="text1"/>
          <w:szCs w:val="32"/>
          <w14:textFill>
            <w14:solidFill>
              <w14:schemeClr w14:val="tx1"/>
            </w14:solidFill>
          </w14:textFill>
        </w:rPr>
        <w:t>行业“金字塔结构”呈扁平状，底座宽，高度不够。企业业务范围过于单一，竞争主要集中在房屋建筑施工领域</w:t>
      </w:r>
      <w:r>
        <w:rPr>
          <w:color w:val="000000" w:themeColor="text1"/>
          <w:szCs w:val="32"/>
          <w14:textFill>
            <w14:solidFill>
              <w14:schemeClr w14:val="tx1"/>
            </w14:solidFill>
          </w14:textFill>
        </w:rPr>
        <w:t>。</w:t>
      </w:r>
      <w:r>
        <w:rPr>
          <w:rFonts w:hint="eastAsia" w:ascii="方正仿宋_GBK"/>
          <w:color w:val="000000" w:themeColor="text1"/>
          <w:szCs w:val="32"/>
          <w14:textFill>
            <w14:solidFill>
              <w14:schemeClr w14:val="tx1"/>
            </w14:solidFill>
          </w14:textFill>
        </w:rPr>
        <w:t>本地企业资质等级普遍较低，呈现“小、散、弱”特点，本地市场占有率不高。绝大多数轨道、公路、铁路、跨江桥梁等项目由外地企业承揽，对外拓展能力不足。</w:t>
      </w:r>
    </w:p>
    <w:p>
      <w:pPr>
        <w:pStyle w:val="4"/>
        <w:ind w:firstLine="643"/>
      </w:pPr>
      <w:bookmarkStart w:id="66" w:name="_Toc91149471"/>
      <w:bookmarkStart w:id="67" w:name="_Toc66457116"/>
      <w:r>
        <w:rPr>
          <w:rFonts w:hint="eastAsia"/>
        </w:rPr>
        <w:t>3．从业人员素养仍需提高</w:t>
      </w:r>
      <w:bookmarkEnd w:id="66"/>
      <w:bookmarkEnd w:id="67"/>
    </w:p>
    <w:p>
      <w:pPr>
        <w:ind w:firstLine="640"/>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建筑业一线作业人员以未经专业培训而直接上岗的农民工为主，文化水平、专业素质参差不齐，整体素质较低，人员老龄化严重，“用工荒”问题逐渐显现。缺乏既懂管理、又善经营的复合型高端人才以及专业技术、高技术人才，一定程度上制约了行业的高质量发展。</w:t>
      </w:r>
    </w:p>
    <w:p>
      <w:pPr>
        <w:pStyle w:val="4"/>
        <w:ind w:firstLine="643"/>
      </w:pPr>
      <w:bookmarkStart w:id="68" w:name="_Toc66457117"/>
      <w:bookmarkStart w:id="69" w:name="_Toc91149472"/>
      <w:r>
        <w:rPr>
          <w:rFonts w:hint="eastAsia"/>
        </w:rPr>
        <w:t>4．质量安全主体责任需进一步压实</w:t>
      </w:r>
      <w:bookmarkEnd w:id="68"/>
      <w:bookmarkEnd w:id="69"/>
    </w:p>
    <w:p>
      <w:pPr>
        <w:ind w:firstLine="640"/>
        <w:rPr>
          <w:rFonts w:ascii="方正仿宋_GBK" w:hAnsi="黑体"/>
          <w:color w:val="000000" w:themeColor="text1"/>
          <w:szCs w:val="32"/>
          <w14:textFill>
            <w14:solidFill>
              <w14:schemeClr w14:val="tx1"/>
            </w14:solidFill>
          </w14:textFill>
        </w:rPr>
      </w:pPr>
      <w:r>
        <w:rPr>
          <w:rFonts w:hint="eastAsia" w:ascii="方正仿宋_GBK" w:hAnsi="黑体"/>
          <w:color w:val="000000" w:themeColor="text1"/>
          <w:szCs w:val="32"/>
          <w14:textFill>
            <w14:solidFill>
              <w14:schemeClr w14:val="tx1"/>
            </w14:solidFill>
          </w14:textFill>
        </w:rPr>
        <w:t>建筑行业现行制度对企业主体责任规定不够明确，企业违法成本低，特别是建设单位首要责任不明确、不落实，存在违反基本建设程序，任意赶工期、压造价，拖欠工程款，不履行质量保修义务等问题。建设单位投资责任机制不健全，阻碍了市场机制的发展。</w:t>
      </w:r>
    </w:p>
    <w:p>
      <w:pPr>
        <w:pStyle w:val="4"/>
        <w:ind w:firstLine="643"/>
      </w:pPr>
      <w:bookmarkStart w:id="70" w:name="_Toc66457118"/>
      <w:bookmarkStart w:id="71" w:name="_Toc91149473"/>
      <w:r>
        <w:rPr>
          <w:rFonts w:hint="eastAsia"/>
        </w:rPr>
        <w:t>5．行业治理现代化水平</w:t>
      </w:r>
      <w:bookmarkEnd w:id="70"/>
      <w:r>
        <w:rPr>
          <w:rFonts w:hint="eastAsia"/>
        </w:rPr>
        <w:t>仍待提高</w:t>
      </w:r>
      <w:bookmarkEnd w:id="71"/>
    </w:p>
    <w:p>
      <w:pPr>
        <w:ind w:firstLine="640"/>
        <w:rPr>
          <w:bCs/>
          <w:color w:val="000000" w:themeColor="text1"/>
          <w:szCs w:val="32"/>
          <w14:textFill>
            <w14:solidFill>
              <w14:schemeClr w14:val="tx1"/>
            </w14:solidFill>
          </w14:textFill>
        </w:rPr>
      </w:pPr>
      <w:r>
        <w:rPr>
          <w:rFonts w:hint="eastAsia" w:ascii="方正仿宋_GBK"/>
          <w:szCs w:val="32"/>
        </w:rPr>
        <w:t>建筑市场存在较多不规范行为，建筑市场各方主体的诚信意识比较薄弱，建筑市场各管理环节没有建立</w:t>
      </w:r>
      <w:r>
        <w:rPr>
          <w:rFonts w:hint="eastAsia" w:ascii="方正仿宋_GBK"/>
          <w:szCs w:val="32"/>
          <w:lang w:eastAsia="zh-CN"/>
        </w:rPr>
        <w:t>健全</w:t>
      </w:r>
      <w:r>
        <w:rPr>
          <w:rFonts w:hint="eastAsia" w:ascii="方正仿宋_GBK"/>
          <w:szCs w:val="32"/>
        </w:rPr>
        <w:t>信用信息共享机制，市场监管制度不健全、监管力量薄弱，建筑市场监管不到位，监管手段还需创新和完善，监督治理现代化水平还不够高。</w:t>
      </w:r>
    </w:p>
    <w:p>
      <w:pPr>
        <w:pStyle w:val="4"/>
        <w:ind w:firstLine="643"/>
      </w:pPr>
      <w:bookmarkStart w:id="72" w:name="_Toc91149474"/>
      <w:bookmarkStart w:id="73" w:name="_Toc66457119"/>
      <w:r>
        <w:rPr>
          <w:rFonts w:hint="eastAsia"/>
        </w:rPr>
        <w:t>6．高质量发展仍需加力提速</w:t>
      </w:r>
      <w:bookmarkEnd w:id="72"/>
      <w:bookmarkEnd w:id="73"/>
    </w:p>
    <w:p>
      <w:pPr>
        <w:ind w:firstLine="640"/>
      </w:pPr>
      <w:r>
        <w:rPr>
          <w:rFonts w:hint="eastAsia"/>
          <w:color w:val="000000" w:themeColor="text1"/>
          <w:szCs w:val="32"/>
          <w14:textFill>
            <w14:solidFill>
              <w14:schemeClr w14:val="tx1"/>
            </w14:solidFill>
          </w14:textFill>
        </w:rPr>
        <w:t>我市建筑业信息化在所有行业中处于较低水平，互联网、大数据、人工智能等新技术应用较少，且缺乏服务建设各环节的线上产业和系统集成，无法支撑行业数字化转型。智慧工地建设还需进一步完善，“建而不用”现象仍然存在，企业对数据价值的挖掘程度不够，智慧化进程较为缓慢。</w:t>
      </w:r>
      <w:r>
        <w:rPr>
          <w:rFonts w:hint="eastAsia"/>
        </w:rPr>
        <w:t>建筑产业现代化水平不高，与北京、上海等城市相比存在一定差距。</w:t>
      </w:r>
    </w:p>
    <w:p>
      <w:pPr>
        <w:pStyle w:val="4"/>
        <w:ind w:firstLine="643"/>
      </w:pPr>
      <w:bookmarkStart w:id="74" w:name="_Toc91149475"/>
      <w:bookmarkStart w:id="75" w:name="_Toc66457120"/>
      <w:r>
        <w:rPr>
          <w:rFonts w:hint="eastAsia"/>
        </w:rPr>
        <w:t>7．“放管服”改革仍需纵深推进</w:t>
      </w:r>
      <w:bookmarkEnd w:id="74"/>
      <w:bookmarkEnd w:id="75"/>
    </w:p>
    <w:p>
      <w:pPr>
        <w:ind w:firstLine="640"/>
      </w:pPr>
      <w:r>
        <w:rPr>
          <w:rFonts w:hint="eastAsia"/>
          <w:color w:val="000000" w:themeColor="text1"/>
          <w:szCs w:val="32"/>
          <w14:textFill>
            <w14:solidFill>
              <w14:schemeClr w14:val="tx1"/>
            </w14:solidFill>
          </w14:textFill>
        </w:rPr>
        <w:t>建筑业“放管服”改革虽取得一定成效，但仍存在一些短板和薄弱环节，营商环境与国际先进水平相比还有差距，放权不同步、审批环节多等问题仍不同程度存在，简政放权还需进一步深化，工程项目审批制度改革还需进一步推进，政务服务效能仍需提高。</w:t>
      </w:r>
    </w:p>
    <w:p>
      <w:pPr>
        <w:pStyle w:val="2"/>
        <w:ind w:firstLine="640"/>
      </w:pPr>
      <w:bookmarkStart w:id="76" w:name="_Toc66457121"/>
      <w:bookmarkStart w:id="77" w:name="_Toc15833"/>
      <w:bookmarkStart w:id="78" w:name="_Toc16634"/>
      <w:bookmarkStart w:id="79" w:name="_Toc32515"/>
      <w:bookmarkStart w:id="80" w:name="_Toc65746607"/>
      <w:bookmarkStart w:id="81" w:name="_Toc91149476"/>
      <w:r>
        <w:rPr>
          <w:rFonts w:hint="eastAsia"/>
        </w:rPr>
        <w:t>二、“十四五”发展面临的</w:t>
      </w:r>
      <w:bookmarkEnd w:id="76"/>
      <w:bookmarkEnd w:id="77"/>
      <w:bookmarkEnd w:id="78"/>
      <w:bookmarkEnd w:id="79"/>
      <w:bookmarkEnd w:id="80"/>
      <w:r>
        <w:rPr>
          <w:rFonts w:hint="eastAsia"/>
        </w:rPr>
        <w:t>机遇挑战</w:t>
      </w:r>
      <w:bookmarkEnd w:id="81"/>
    </w:p>
    <w:p>
      <w:pPr>
        <w:pStyle w:val="3"/>
        <w:ind w:firstLine="643"/>
        <w:rPr>
          <w:color w:val="000000" w:themeColor="text1"/>
          <w14:textFill>
            <w14:solidFill>
              <w14:schemeClr w14:val="tx1"/>
            </w14:solidFill>
          </w14:textFill>
        </w:rPr>
      </w:pPr>
      <w:bookmarkStart w:id="82" w:name="_Toc20847"/>
      <w:bookmarkStart w:id="83" w:name="_Toc22054"/>
      <w:bookmarkStart w:id="84" w:name="_Toc2537"/>
      <w:bookmarkStart w:id="85" w:name="_Toc65746608"/>
      <w:bookmarkStart w:id="86" w:name="_Toc66457122"/>
      <w:bookmarkStart w:id="87" w:name="_Toc91149477"/>
      <w:r>
        <w:rPr>
          <w:rFonts w:hint="eastAsia"/>
          <w:color w:val="000000" w:themeColor="text1"/>
          <w14:textFill>
            <w14:solidFill>
              <w14:schemeClr w14:val="tx1"/>
            </w14:solidFill>
          </w14:textFill>
        </w:rPr>
        <w:t>（一）</w:t>
      </w:r>
      <w:bookmarkEnd w:id="82"/>
      <w:bookmarkEnd w:id="83"/>
      <w:bookmarkEnd w:id="84"/>
      <w:bookmarkEnd w:id="85"/>
      <w:bookmarkEnd w:id="86"/>
      <w:r>
        <w:rPr>
          <w:rFonts w:hint="eastAsia"/>
          <w:color w:val="000000" w:themeColor="text1"/>
          <w14:textFill>
            <w14:solidFill>
              <w14:schemeClr w14:val="tx1"/>
            </w14:solidFill>
          </w14:textFill>
        </w:rPr>
        <w:t>面临机遇</w:t>
      </w:r>
      <w:bookmarkEnd w:id="87"/>
    </w:p>
    <w:p>
      <w:pPr>
        <w:pStyle w:val="4"/>
        <w:ind w:firstLine="643"/>
        <w:rPr>
          <w:rFonts w:cstheme="minorBidi"/>
          <w:color w:val="000000" w:themeColor="text1"/>
          <w14:textFill>
            <w14:solidFill>
              <w14:schemeClr w14:val="tx1"/>
            </w14:solidFill>
          </w14:textFill>
        </w:rPr>
      </w:pPr>
      <w:bookmarkStart w:id="88" w:name="_Toc91149478"/>
      <w:r>
        <w:rPr>
          <w:rFonts w:hint="eastAsia" w:cstheme="minorBidi"/>
          <w:color w:val="000000" w:themeColor="text1"/>
          <w14:textFill>
            <w14:solidFill>
              <w14:schemeClr w14:val="tx1"/>
            </w14:solidFill>
          </w14:textFill>
        </w:rPr>
        <w:t>1．</w:t>
      </w:r>
      <w:r>
        <w:rPr>
          <w:rFonts w:hint="eastAsia"/>
        </w:rPr>
        <w:t>高质量助力行业发展新动力</w:t>
      </w:r>
      <w:bookmarkEnd w:id="88"/>
    </w:p>
    <w:p>
      <w:pPr>
        <w:ind w:firstLine="640"/>
        <w:rPr>
          <w:rFonts w:cstheme="minorBidi"/>
          <w:color w:val="000000" w:themeColor="text1"/>
          <w:szCs w:val="32"/>
          <w14:textFill>
            <w14:solidFill>
              <w14:schemeClr w14:val="tx1"/>
            </w14:solidFill>
          </w14:textFill>
        </w:rPr>
      </w:pPr>
      <w:r>
        <w:rPr>
          <w:rFonts w:hint="eastAsia" w:cstheme="minorBidi"/>
          <w:color w:val="000000" w:themeColor="text1"/>
          <w:szCs w:val="32"/>
          <w14:textFill>
            <w14:solidFill>
              <w14:schemeClr w14:val="tx1"/>
            </w14:solidFill>
          </w14:textFill>
        </w:rPr>
        <w:t>我国经济已由高速增长阶段转向高质量发展阶段，正处在转变发展方式、优化经济结构、转换增长动力的攻关期。建筑行业在新形势下，将实现转型升级、高质量发展和创造高品质生活作为重要发展方向。建筑业将按照适用、经济、安全、绿色、美观的要求，加快转型升级，加快实现建筑产业现代化，加强技术创新，提升信息化水平，实现高质量发展。</w:t>
      </w:r>
      <w:r>
        <w:rPr>
          <w:rFonts w:hint="eastAsia"/>
          <w:color w:val="000000" w:themeColor="text1"/>
          <w:szCs w:val="32"/>
          <w14:textFill>
            <w14:solidFill>
              <w14:schemeClr w14:val="tx1"/>
            </w14:solidFill>
          </w14:textFill>
        </w:rPr>
        <w:t>新基建作为建筑业发展新动能，</w:t>
      </w:r>
      <w:r>
        <w:rPr>
          <w:rFonts w:hint="eastAsia" w:cstheme="minorBidi"/>
          <w:color w:val="000000" w:themeColor="text1"/>
          <w:szCs w:val="32"/>
          <w14:textFill>
            <w14:solidFill>
              <w14:schemeClr w14:val="tx1"/>
            </w14:solidFill>
          </w14:textFill>
        </w:rPr>
        <w:t>我国</w:t>
      </w:r>
      <w:r>
        <w:rPr>
          <w:rFonts w:cstheme="minorBidi"/>
          <w:color w:val="000000" w:themeColor="text1"/>
          <w:szCs w:val="32"/>
          <w14:textFill>
            <w14:solidFill>
              <w14:schemeClr w14:val="tx1"/>
            </w14:solidFill>
          </w14:textFill>
        </w:rPr>
        <w:t>5G网络、大数据中心等新型基础设施建设将进一步加快，建筑业转型升级势在必行</w:t>
      </w:r>
      <w:r>
        <w:rPr>
          <w:rFonts w:hint="eastAsia" w:cstheme="minorBidi"/>
          <w:color w:val="000000" w:themeColor="text1"/>
          <w:szCs w:val="32"/>
          <w14:textFill>
            <w14:solidFill>
              <w14:schemeClr w14:val="tx1"/>
            </w14:solidFill>
          </w14:textFill>
        </w:rPr>
        <w:t>。</w:t>
      </w:r>
    </w:p>
    <w:p>
      <w:pPr>
        <w:pStyle w:val="4"/>
        <w:ind w:firstLine="643"/>
        <w:rPr>
          <w:rFonts w:cstheme="minorBidi"/>
          <w:color w:val="000000" w:themeColor="text1"/>
          <w14:textFill>
            <w14:solidFill>
              <w14:schemeClr w14:val="tx1"/>
            </w14:solidFill>
          </w14:textFill>
        </w:rPr>
      </w:pPr>
      <w:bookmarkStart w:id="89" w:name="_Toc91149479"/>
      <w:bookmarkStart w:id="90" w:name="_Toc66457123"/>
      <w:r>
        <w:rPr>
          <w:rFonts w:hint="eastAsia" w:cstheme="minorBidi"/>
          <w:color w:val="000000" w:themeColor="text1"/>
          <w14:textFill>
            <w14:solidFill>
              <w14:schemeClr w14:val="tx1"/>
            </w14:solidFill>
          </w14:textFill>
        </w:rPr>
        <w:t>2．</w:t>
      </w:r>
      <w:r>
        <w:rPr>
          <w:rFonts w:cstheme="minorBidi"/>
          <w:color w:val="000000" w:themeColor="text1"/>
          <w14:textFill>
            <w14:solidFill>
              <w14:schemeClr w14:val="tx1"/>
            </w14:solidFill>
          </w14:textFill>
        </w:rPr>
        <w:t>西部大开发形成新格局</w:t>
      </w:r>
      <w:bookmarkEnd w:id="89"/>
      <w:bookmarkEnd w:id="90"/>
    </w:p>
    <w:p>
      <w:pPr>
        <w:ind w:firstLine="640"/>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中共中央、国务院印发《关于新时代推进西部大开发形成新格局的指导意见》，提出贯彻新发展理念，形成大保护、大开放、高质量发展的新格局，并指出西部地区未来发展方向主要在现代化产业体系、城市化发展、基础设施建设等方面形成新格局。重庆是西部大开发的重要战略支点，处在“一带一路”和长江经济带的联结点上，要求重庆建设内陆开放高地，成为山清水秀美丽之地。在新时代推进西部大开发形成新格局中，重庆区位优势、生态优势、产业优势、体制优势十分突出，发展前景广阔。</w:t>
      </w:r>
    </w:p>
    <w:p>
      <w:pPr>
        <w:pStyle w:val="4"/>
        <w:ind w:firstLine="643"/>
      </w:pPr>
      <w:bookmarkStart w:id="91" w:name="_Toc66457124"/>
      <w:bookmarkStart w:id="92" w:name="_Toc91149480"/>
      <w:r>
        <w:t>3</w:t>
      </w:r>
      <w:r>
        <w:rPr>
          <w:rFonts w:hint="eastAsia"/>
        </w:rPr>
        <w:t>．成渝双城经济圈建设大力推进</w:t>
      </w:r>
      <w:bookmarkEnd w:id="91"/>
      <w:bookmarkEnd w:id="92"/>
    </w:p>
    <w:p>
      <w:pPr>
        <w:ind w:firstLine="640"/>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成渝地区共建经济圈，合力建设现代基础设施网络，协同打造现代产业体系，强化生态共建和环境共保，打造带动全国高质量发展的重要增长极和新的动力源。两地科技创新、现代产业体系、综合交通运输体系建设、生态环境建设、公共服务等领域将推进系列重大项目建设。成渝地区双城经济圈建设将为重庆地区建筑业规模化发展注入新的动力，并指引重庆市按照双城经济圈建设的要求，把推进建筑产业现代化作为促进建筑业转型升级和高质量发展的突破口，加强本地产业培育，完善产业链条，构建现代建筑产业体系，加快形成产业集群，将我市打造成西部建筑产业高地、绿色发展典范。</w:t>
      </w:r>
    </w:p>
    <w:p>
      <w:pPr>
        <w:pStyle w:val="4"/>
        <w:ind w:firstLine="643"/>
      </w:pPr>
      <w:bookmarkStart w:id="93" w:name="_Toc91149481"/>
      <w:bookmarkStart w:id="94" w:name="_Toc66457125"/>
      <w:r>
        <w:rPr>
          <w:rFonts w:hint="eastAsia"/>
        </w:rPr>
        <w:t>4．西部（重庆）科学城建设带来新发展</w:t>
      </w:r>
      <w:bookmarkEnd w:id="93"/>
      <w:bookmarkEnd w:id="94"/>
    </w:p>
    <w:p>
      <w:pPr>
        <w:ind w:firstLine="640"/>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重庆市深入学习贯彻习近平总书记重要讲话精神，坚持新发展理念，打开视野、拓宽思路，在推进成渝地区双城经济圈建设中找准战略定位，在推动重庆高质量发展中明确战略任务，加快集聚创新要素，持续优化创新生态，高起点高标准建设西部（重庆）科学城，全力打造高水平科技创新中心，构建内畅外联的交通体系，打造国际化、绿色化、智能化、人文化现代城市样板，提升城市发展能级和水平。西部（重庆）科学城将加速推动建筑业创新发展，提高行业科技含量，打造高品质建筑项目。</w:t>
      </w:r>
    </w:p>
    <w:p>
      <w:pPr>
        <w:pStyle w:val="3"/>
        <w:ind w:firstLine="643"/>
      </w:pPr>
      <w:bookmarkStart w:id="95" w:name="_Toc91149482"/>
      <w:r>
        <w:rPr>
          <w:rFonts w:hint="eastAsia"/>
        </w:rPr>
        <w:t>（二）面临挑战</w:t>
      </w:r>
      <w:bookmarkEnd w:id="95"/>
    </w:p>
    <w:p>
      <w:pPr>
        <w:pStyle w:val="4"/>
        <w:ind w:firstLine="643"/>
        <w:rPr>
          <w:rFonts w:cstheme="minorBidi"/>
          <w:color w:val="000000" w:themeColor="text1"/>
          <w14:textFill>
            <w14:solidFill>
              <w14:schemeClr w14:val="tx1"/>
            </w14:solidFill>
          </w14:textFill>
        </w:rPr>
      </w:pPr>
      <w:bookmarkStart w:id="96" w:name="_Toc91149483"/>
      <w:r>
        <w:rPr>
          <w:rFonts w:hint="eastAsia" w:cstheme="minorBidi"/>
          <w:color w:val="000000" w:themeColor="text1"/>
          <w14:textFill>
            <w14:solidFill>
              <w14:schemeClr w14:val="tx1"/>
            </w14:solidFill>
          </w14:textFill>
        </w:rPr>
        <w:t>1．</w:t>
      </w:r>
      <w:bookmarkEnd w:id="96"/>
      <w:r>
        <w:rPr>
          <w:rFonts w:hint="eastAsia" w:cstheme="minorBidi"/>
          <w:color w:val="000000" w:themeColor="text1"/>
          <w14:textFill>
            <w14:solidFill>
              <w14:schemeClr w14:val="tx1"/>
            </w14:solidFill>
          </w14:textFill>
        </w:rPr>
        <w:t>建筑业发展形势不容乐观</w:t>
      </w:r>
    </w:p>
    <w:p>
      <w:pPr>
        <w:ind w:firstLine="640"/>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当今世界正历经百年未有之大变局，世界经济持续低迷，未来国际形势仍呈现不稳定、不确定状态。我国经济已由高速增长阶段转向高质量发展阶段，同时也因贸易摩擦、疫情影响等因素迎来更大的挑战，宏观经济面临较大的下行压力，建筑业</w:t>
      </w:r>
      <w:r>
        <w:rPr>
          <w:rFonts w:hint="eastAsia"/>
          <w:color w:val="000000" w:themeColor="text1"/>
          <w:szCs w:val="32"/>
          <w:lang w:eastAsia="zh-CN"/>
          <w14:textFill>
            <w14:solidFill>
              <w14:schemeClr w14:val="tx1"/>
            </w14:solidFill>
          </w14:textFill>
        </w:rPr>
        <w:t>发展</w:t>
      </w:r>
      <w:r>
        <w:rPr>
          <w:rFonts w:hint="eastAsia"/>
          <w:color w:val="000000" w:themeColor="text1"/>
          <w:szCs w:val="32"/>
          <w14:textFill>
            <w14:solidFill>
              <w14:schemeClr w14:val="tx1"/>
            </w14:solidFill>
          </w14:textFill>
        </w:rPr>
        <w:t>形势不容乐观。</w:t>
      </w:r>
    </w:p>
    <w:p>
      <w:pPr>
        <w:pStyle w:val="4"/>
        <w:ind w:firstLine="643"/>
        <w:rPr>
          <w:rFonts w:cstheme="minorBidi"/>
          <w:color w:val="000000" w:themeColor="text1"/>
          <w14:textFill>
            <w14:solidFill>
              <w14:schemeClr w14:val="tx1"/>
            </w14:solidFill>
          </w14:textFill>
        </w:rPr>
      </w:pPr>
      <w:bookmarkStart w:id="97" w:name="_Toc91149484"/>
      <w:r>
        <w:rPr>
          <w:rFonts w:hint="eastAsia" w:cstheme="minorBidi"/>
          <w:color w:val="000000" w:themeColor="text1"/>
          <w14:textFill>
            <w14:solidFill>
              <w14:schemeClr w14:val="tx1"/>
            </w14:solidFill>
          </w14:textFill>
        </w:rPr>
        <w:t>2．行业要素成本持续增加</w:t>
      </w:r>
      <w:bookmarkEnd w:id="97"/>
    </w:p>
    <w:p>
      <w:pPr>
        <w:ind w:firstLine="640"/>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工程项目要素成本上升，将进一步压缩施工企业利润空间。劳动红利下降、人力成本增加、供应链限制等因素，将进一步拉高建筑业企业用工成本，压缩利润率，企业经营压力也</w:t>
      </w:r>
      <w:r>
        <w:rPr>
          <w:rFonts w:hint="eastAsia"/>
          <w:color w:val="000000" w:themeColor="text1"/>
          <w:szCs w:val="32"/>
          <w:lang w:eastAsia="zh-CN"/>
          <w14:textFill>
            <w14:solidFill>
              <w14:schemeClr w14:val="tx1"/>
            </w14:solidFill>
          </w14:textFill>
        </w:rPr>
        <w:t>将</w:t>
      </w:r>
      <w:r>
        <w:rPr>
          <w:rFonts w:hint="eastAsia"/>
          <w:color w:val="000000" w:themeColor="text1"/>
          <w:szCs w:val="32"/>
          <w14:textFill>
            <w14:solidFill>
              <w14:schemeClr w14:val="tx1"/>
            </w14:solidFill>
          </w14:textFill>
        </w:rPr>
        <w:t>进一步加大。</w:t>
      </w:r>
    </w:p>
    <w:p>
      <w:pPr>
        <w:pStyle w:val="4"/>
        <w:ind w:firstLine="643"/>
        <w:rPr>
          <w:rFonts w:cstheme="minorBidi"/>
          <w:color w:val="000000" w:themeColor="text1"/>
          <w14:textFill>
            <w14:solidFill>
              <w14:schemeClr w14:val="tx1"/>
            </w14:solidFill>
          </w14:textFill>
        </w:rPr>
      </w:pPr>
      <w:bookmarkStart w:id="98" w:name="_Toc91149485"/>
      <w:r>
        <w:rPr>
          <w:rFonts w:hint="eastAsia" w:cstheme="minorBidi"/>
          <w:color w:val="000000" w:themeColor="text1"/>
          <w14:textFill>
            <w14:solidFill>
              <w14:schemeClr w14:val="tx1"/>
            </w14:solidFill>
          </w14:textFill>
        </w:rPr>
        <w:t>3．行业市场竞争不断加剧</w:t>
      </w:r>
      <w:bookmarkEnd w:id="98"/>
    </w:p>
    <w:p>
      <w:pPr>
        <w:ind w:firstLine="640"/>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建筑业已从增量竞争步入存量竞争时代，仍然存在过度竞争和无序竞争的现象。在市场竞争中，建筑资质相对较低、规模较小、科技水平不高的企业，其生存与发展面临严峻的挑战。</w:t>
      </w:r>
    </w:p>
    <w:p>
      <w:pPr>
        <w:pStyle w:val="4"/>
        <w:numPr>
          <w:ilvl w:val="0"/>
          <w:numId w:val="3"/>
        </w:numPr>
        <w:ind w:firstLine="643"/>
        <w:rPr>
          <w:rFonts w:cstheme="minorBidi"/>
          <w:color w:val="000000" w:themeColor="text1"/>
          <w14:textFill>
            <w14:solidFill>
              <w14:schemeClr w14:val="tx1"/>
            </w14:solidFill>
          </w14:textFill>
        </w:rPr>
      </w:pPr>
      <w:bookmarkStart w:id="99" w:name="_Toc91149486"/>
      <w:r>
        <w:rPr>
          <w:rFonts w:hint="eastAsia" w:cstheme="minorBidi"/>
          <w:color w:val="000000" w:themeColor="text1"/>
          <w14:textFill>
            <w14:solidFill>
              <w14:schemeClr w14:val="tx1"/>
            </w14:solidFill>
          </w14:textFill>
        </w:rPr>
        <w:t>“双碳”目标提出行业发展新要求</w:t>
      </w:r>
      <w:bookmarkEnd w:id="99"/>
    </w:p>
    <w:p>
      <w:pPr>
        <w:ind w:firstLine="640"/>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当前</w:t>
      </w:r>
      <w:r>
        <w:rPr>
          <w:color w:val="000000" w:themeColor="text1"/>
          <w:szCs w:val="32"/>
          <w14:textFill>
            <w14:solidFill>
              <w14:schemeClr w14:val="tx1"/>
            </w14:solidFill>
          </w14:textFill>
        </w:rPr>
        <w:t>建筑存量较大，运营过程碳排放占比高，既有建筑存在高耗能、高排放的情况。“双碳”目标直接关系着建筑业未来的可持续发展，将对建筑业产生巨大冲击和影响</w:t>
      </w:r>
      <w:r>
        <w:rPr>
          <w:rFonts w:hint="eastAsia"/>
          <w:color w:val="000000" w:themeColor="text1"/>
          <w:szCs w:val="32"/>
          <w14:textFill>
            <w14:solidFill>
              <w14:schemeClr w14:val="tx1"/>
            </w14:solidFill>
          </w14:textFill>
        </w:rPr>
        <w:t>，传统建造方式</w:t>
      </w:r>
      <w:r>
        <w:rPr>
          <w:rFonts w:hint="eastAsia"/>
          <w:color w:val="000000" w:themeColor="text1"/>
          <w:szCs w:val="32"/>
          <w:lang w:eastAsia="zh-CN"/>
          <w14:textFill>
            <w14:solidFill>
              <w14:schemeClr w14:val="tx1"/>
            </w14:solidFill>
          </w14:textFill>
        </w:rPr>
        <w:t>难以</w:t>
      </w:r>
      <w:r>
        <w:rPr>
          <w:rFonts w:hint="eastAsia"/>
          <w:color w:val="000000" w:themeColor="text1"/>
          <w:szCs w:val="32"/>
          <w14:textFill>
            <w14:solidFill>
              <w14:schemeClr w14:val="tx1"/>
            </w14:solidFill>
          </w14:textFill>
        </w:rPr>
        <w:t>满足绿色低碳要求，建筑业节能减碳面临重大挑战。</w:t>
      </w:r>
    </w:p>
    <w:p>
      <w:pPr>
        <w:pStyle w:val="2"/>
        <w:ind w:firstLine="640"/>
        <w:rPr>
          <w:color w:val="000000" w:themeColor="text1"/>
          <w:szCs w:val="32"/>
          <w14:textFill>
            <w14:solidFill>
              <w14:schemeClr w14:val="tx1"/>
            </w14:solidFill>
          </w14:textFill>
        </w:rPr>
      </w:pPr>
      <w:bookmarkStart w:id="100" w:name="_Toc66457126"/>
      <w:bookmarkStart w:id="101" w:name="_Toc3651"/>
      <w:bookmarkStart w:id="102" w:name="_Toc24141"/>
      <w:bookmarkStart w:id="103" w:name="_Toc65746610"/>
      <w:bookmarkStart w:id="104" w:name="_Toc91149487"/>
      <w:bookmarkStart w:id="105" w:name="_Toc20444"/>
      <w:r>
        <w:rPr>
          <w:rFonts w:hint="eastAsia"/>
          <w:color w:val="000000" w:themeColor="text1"/>
          <w:szCs w:val="32"/>
          <w14:textFill>
            <w14:solidFill>
              <w14:schemeClr w14:val="tx1"/>
            </w14:solidFill>
          </w14:textFill>
        </w:rPr>
        <w:t>三、“十四五”发展指导思想和发展目标</w:t>
      </w:r>
      <w:bookmarkEnd w:id="100"/>
      <w:bookmarkEnd w:id="101"/>
      <w:bookmarkEnd w:id="102"/>
      <w:bookmarkEnd w:id="103"/>
      <w:bookmarkEnd w:id="104"/>
      <w:bookmarkEnd w:id="105"/>
    </w:p>
    <w:p>
      <w:pPr>
        <w:pStyle w:val="3"/>
        <w:ind w:firstLine="643"/>
        <w:rPr>
          <w:color w:val="000000" w:themeColor="text1"/>
          <w14:textFill>
            <w14:solidFill>
              <w14:schemeClr w14:val="tx1"/>
            </w14:solidFill>
          </w14:textFill>
        </w:rPr>
      </w:pPr>
      <w:bookmarkStart w:id="106" w:name="_Toc66457127"/>
      <w:bookmarkStart w:id="107" w:name="_Toc91149488"/>
      <w:bookmarkStart w:id="108" w:name="_Toc30961"/>
      <w:bookmarkStart w:id="109" w:name="_Toc65746611"/>
      <w:bookmarkStart w:id="110" w:name="_Toc23775"/>
      <w:bookmarkStart w:id="111" w:name="_Toc23376"/>
      <w:r>
        <w:rPr>
          <w:rFonts w:hint="eastAsia"/>
          <w:color w:val="000000" w:themeColor="text1"/>
          <w14:textFill>
            <w14:solidFill>
              <w14:schemeClr w14:val="tx1"/>
            </w14:solidFill>
          </w14:textFill>
        </w:rPr>
        <w:t>（一）指导思想</w:t>
      </w:r>
      <w:bookmarkEnd w:id="106"/>
      <w:bookmarkEnd w:id="107"/>
      <w:bookmarkEnd w:id="108"/>
      <w:bookmarkEnd w:id="109"/>
      <w:bookmarkEnd w:id="110"/>
      <w:bookmarkEnd w:id="111"/>
    </w:p>
    <w:p>
      <w:pPr>
        <w:ind w:firstLine="640"/>
        <w:rPr>
          <w:rFonts w:hint="eastAsia"/>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以习近平新时代中国特色社会主义思想为指导，全面贯彻党的十九大和十九届历次全会精神，扎实落实中央经济工作会议精神，进一步增强“四个意识”、坚定“四个自信”、做到“两个维护”，弘扬伟大建党精神，坚持稳中求进工作总基调，立足新发展阶段，完整、准确、全面贯彻新发展理念，积极融入和服务新发展格局，全面深化改革开放，坚持创新驱动发展，推动高质量发展，坚持以供给侧结构性改革为主线，统筹疫情防控和经济社会发展，统筹发展和安全，继续做好“六稳”“六保”工作，持续改善民生，保持经济运行在合理区间，保持社会大局稳定，推动成渝地区双城经济圈建设向纵深发展。</w:t>
      </w:r>
      <w:r>
        <w:rPr>
          <w:rFonts w:hint="eastAsia"/>
          <w:color w:val="000000" w:themeColor="text1"/>
          <w:szCs w:val="32"/>
          <w:lang w:eastAsia="zh-CN"/>
          <w14:textFill>
            <w14:solidFill>
              <w14:schemeClr w14:val="tx1"/>
            </w14:solidFill>
          </w14:textFill>
        </w:rPr>
        <w:t>坚持</w:t>
      </w:r>
      <w:r>
        <w:rPr>
          <w:rFonts w:hint="eastAsia"/>
          <w:color w:val="000000" w:themeColor="text1"/>
          <w:szCs w:val="32"/>
          <w14:textFill>
            <w14:solidFill>
              <w14:schemeClr w14:val="tx1"/>
            </w14:solidFill>
          </w14:textFill>
        </w:rPr>
        <w:t>从全局谋划一域，以一域服务全局，以推动建筑业高质量发展为主题，以深化“放管服改革”为主线，以统筹推进建筑业信息化、智能化为动力，促进行业转型升级，规范建筑市场秩序，优化行业营商环境，实现高质量发展。</w:t>
      </w:r>
    </w:p>
    <w:p>
      <w:pPr>
        <w:pStyle w:val="3"/>
        <w:ind w:firstLine="643"/>
        <w:rPr>
          <w:color w:val="000000" w:themeColor="text1"/>
          <w14:textFill>
            <w14:solidFill>
              <w14:schemeClr w14:val="tx1"/>
            </w14:solidFill>
          </w14:textFill>
        </w:rPr>
      </w:pPr>
      <w:bookmarkStart w:id="112" w:name="_Toc27936"/>
      <w:bookmarkStart w:id="113" w:name="_Toc66457128"/>
      <w:bookmarkStart w:id="114" w:name="_Toc28422"/>
      <w:bookmarkStart w:id="115" w:name="_Toc65746612"/>
      <w:bookmarkStart w:id="116" w:name="_Toc91149489"/>
      <w:bookmarkStart w:id="117" w:name="_Toc21401"/>
      <w:r>
        <w:rPr>
          <w:rFonts w:hint="eastAsia"/>
          <w:color w:val="000000" w:themeColor="text1"/>
          <w14:textFill>
            <w14:solidFill>
              <w14:schemeClr w14:val="tx1"/>
            </w14:solidFill>
          </w14:textFill>
        </w:rPr>
        <w:t>（二）发展目标</w:t>
      </w:r>
      <w:bookmarkEnd w:id="112"/>
      <w:bookmarkEnd w:id="113"/>
      <w:bookmarkEnd w:id="114"/>
      <w:bookmarkEnd w:id="115"/>
      <w:bookmarkEnd w:id="116"/>
      <w:bookmarkEnd w:id="117"/>
    </w:p>
    <w:p>
      <w:pPr>
        <w:pStyle w:val="4"/>
        <w:ind w:firstLine="643"/>
      </w:pPr>
      <w:bookmarkStart w:id="118" w:name="_Toc66457129"/>
      <w:bookmarkStart w:id="119" w:name="_Toc91149490"/>
      <w:r>
        <w:rPr>
          <w:rFonts w:hint="eastAsia"/>
        </w:rPr>
        <w:t>1．市场规模与企业能力发展目标</w:t>
      </w:r>
      <w:bookmarkEnd w:id="118"/>
      <w:bookmarkEnd w:id="119"/>
    </w:p>
    <w:p>
      <w:pPr>
        <w:ind w:firstLine="640"/>
        <w:rPr>
          <w:szCs w:val="32"/>
        </w:rPr>
      </w:pPr>
      <w:r>
        <w:rPr>
          <w:rFonts w:hint="eastAsia"/>
          <w:szCs w:val="32"/>
        </w:rPr>
        <w:t>市场规模效益实现新突破。到2025年，建筑业总产值达到12000亿元，增加值突破4000亿，占地区生产总值比重保持在10%左右。大力培育壮大高等级资质建筑企业，全市建筑行业龙头企业和骨干企业竞争力、带动力得到明显增强。力争到2025年，全市施工特级资质企业达到15家，全过程咨询骨干企业达到60家，工程总承包领域骨干企业达到100家，工程监理综合资质企业达到5家</w:t>
      </w:r>
      <w:r>
        <w:rPr>
          <w:rFonts w:hint="eastAsia"/>
          <w:szCs w:val="32"/>
          <w:lang w:eastAsia="zh-CN"/>
        </w:rPr>
        <w:t>；</w:t>
      </w:r>
      <w:r>
        <w:rPr>
          <w:rFonts w:hint="eastAsia"/>
          <w:szCs w:val="32"/>
        </w:rPr>
        <w:t>年产值500亿元以上企业达到2家、300亿元以上企业达到4家、100亿元以上企业达到13家。</w:t>
      </w:r>
    </w:p>
    <w:p>
      <w:pPr>
        <w:pStyle w:val="4"/>
        <w:ind w:firstLine="643"/>
      </w:pPr>
      <w:bookmarkStart w:id="120" w:name="_Toc91149491"/>
      <w:bookmarkStart w:id="121" w:name="_Toc66457130"/>
      <w:r>
        <w:rPr>
          <w:rFonts w:hint="eastAsia"/>
        </w:rPr>
        <w:t>2．行业人才及队伍建设发展目标</w:t>
      </w:r>
      <w:bookmarkEnd w:id="120"/>
      <w:bookmarkEnd w:id="121"/>
    </w:p>
    <w:p>
      <w:pPr>
        <w:ind w:firstLine="640"/>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培养一批优秀企业家、高素质的技术及管理专家和能工巧匠，以及满足工程建设需要的专业技术人才、复合型人才和高技能人才，产业工人规模不断扩大。力争到2025年，完成培养适应行业高质量发展的专业技术人才及技能人才60000人以上。在培养的技能人才中，力争有中级技能等级以上人员占比80%以上。培养一批建筑企业自有工人，建筑工人终身职业技能培训、考核评价体系基本健全。</w:t>
      </w:r>
    </w:p>
    <w:p>
      <w:pPr>
        <w:pStyle w:val="4"/>
        <w:ind w:firstLine="643"/>
      </w:pPr>
      <w:bookmarkStart w:id="122" w:name="_Toc66457131"/>
      <w:bookmarkStart w:id="123" w:name="_Toc91149492"/>
      <w:r>
        <w:rPr>
          <w:rFonts w:hint="eastAsia"/>
        </w:rPr>
        <w:t>3．工程质量安全水平提升目标</w:t>
      </w:r>
      <w:bookmarkEnd w:id="122"/>
      <w:bookmarkEnd w:id="123"/>
    </w:p>
    <w:p>
      <w:pPr>
        <w:ind w:firstLine="640"/>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质量安全制度体系进一步完善，安全风险防控机制不断健全，质量安全管理方式不断创新。工程质量常见问题治理取得显著进步。最大程度减少一般事故发生、有效防范较大事故发生、坚决遏制重特大事故发生。施工现场形象品质持续提升，建筑工地文明施工水平不断提升。</w:t>
      </w:r>
    </w:p>
    <w:p>
      <w:pPr>
        <w:pStyle w:val="4"/>
        <w:ind w:firstLine="643"/>
      </w:pPr>
      <w:bookmarkStart w:id="124" w:name="_Toc91149493"/>
      <w:bookmarkStart w:id="125" w:name="_Toc66457132"/>
      <w:r>
        <w:rPr>
          <w:rFonts w:hint="eastAsia"/>
        </w:rPr>
        <w:t>4．建造与科技创新目标</w:t>
      </w:r>
      <w:bookmarkEnd w:id="124"/>
      <w:bookmarkEnd w:id="125"/>
    </w:p>
    <w:p>
      <w:pPr>
        <w:ind w:firstLine="640"/>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全市建筑业总体技术水平显著提升，基本形成适合市场需求的建筑技术体系。到2025年，全市装配式建筑面积占新建建筑面积的比例达到30%以上</w:t>
      </w:r>
      <w:r>
        <w:rPr>
          <w:rFonts w:hint="eastAsia"/>
          <w:color w:val="000000" w:themeColor="text1"/>
          <w:szCs w:val="32"/>
          <w:lang w:eastAsia="zh-CN"/>
          <w14:textFill>
            <w14:solidFill>
              <w14:schemeClr w14:val="tx1"/>
            </w14:solidFill>
          </w14:textFill>
        </w:rPr>
        <w:t>；</w:t>
      </w:r>
      <w:r>
        <w:rPr>
          <w:rFonts w:hint="eastAsia"/>
          <w:color w:val="000000" w:themeColor="text1"/>
          <w:szCs w:val="32"/>
          <w14:textFill>
            <w14:solidFill>
              <w14:schemeClr w14:val="tx1"/>
            </w14:solidFill>
          </w14:textFill>
        </w:rPr>
        <w:t>实现新建绿色建筑占比达到100%</w:t>
      </w:r>
      <w:r>
        <w:rPr>
          <w:rFonts w:hint="eastAsia"/>
          <w:color w:val="000000" w:themeColor="text1"/>
          <w:szCs w:val="32"/>
          <w:lang w:eastAsia="zh-CN"/>
          <w14:textFill>
            <w14:solidFill>
              <w14:schemeClr w14:val="tx1"/>
            </w14:solidFill>
          </w14:textFill>
        </w:rPr>
        <w:t>；</w:t>
      </w:r>
      <w:r>
        <w:rPr>
          <w:rFonts w:hint="eastAsia"/>
          <w:color w:val="000000" w:themeColor="text1"/>
          <w:szCs w:val="32"/>
          <w14:textFill>
            <w14:solidFill>
              <w14:schemeClr w14:val="tx1"/>
            </w14:solidFill>
          </w14:textFill>
        </w:rPr>
        <w:t>建设现代建筑产业园</w:t>
      </w:r>
      <w:r>
        <w:rPr>
          <w:rFonts w:hint="eastAsia"/>
          <w:color w:val="000000" w:themeColor="text1"/>
          <w:szCs w:val="32"/>
          <w:lang w:val="en-US" w:eastAsia="zh-CN"/>
          <w14:textFill>
            <w14:solidFill>
              <w14:schemeClr w14:val="tx1"/>
            </w14:solidFill>
          </w14:textFill>
        </w:rPr>
        <w:t>17</w:t>
      </w:r>
      <w:r>
        <w:rPr>
          <w:rFonts w:hint="eastAsia"/>
          <w:color w:val="000000" w:themeColor="text1"/>
          <w:szCs w:val="32"/>
          <w14:textFill>
            <w14:solidFill>
              <w14:schemeClr w14:val="tx1"/>
            </w14:solidFill>
          </w14:textFill>
        </w:rPr>
        <w:t>个</w:t>
      </w:r>
      <w:r>
        <w:rPr>
          <w:rFonts w:hint="eastAsia"/>
          <w:color w:val="000000" w:themeColor="text1"/>
          <w:szCs w:val="32"/>
          <w:lang w:eastAsia="zh-CN"/>
          <w14:textFill>
            <w14:solidFill>
              <w14:schemeClr w14:val="tx1"/>
            </w14:solidFill>
          </w14:textFill>
        </w:rPr>
        <w:t>以上；</w:t>
      </w:r>
      <w:r>
        <w:rPr>
          <w:rFonts w:hint="eastAsia"/>
          <w:color w:val="000000" w:themeColor="text1"/>
          <w:szCs w:val="32"/>
          <w14:textFill>
            <w14:solidFill>
              <w14:schemeClr w14:val="tx1"/>
            </w14:solidFill>
          </w14:textFill>
        </w:rPr>
        <w:t>推进BIM在工程项目中的应用，</w:t>
      </w:r>
      <w:r>
        <w:rPr>
          <w:rFonts w:hint="eastAsia"/>
          <w:color w:val="000000" w:themeColor="text1"/>
          <w:szCs w:val="32"/>
          <w:lang w:eastAsia="zh-CN"/>
          <w14:textFill>
            <w14:solidFill>
              <w14:schemeClr w14:val="tx1"/>
            </w14:solidFill>
          </w14:textFill>
        </w:rPr>
        <w:t>力争</w:t>
      </w:r>
      <w:r>
        <w:rPr>
          <w:rFonts w:hint="eastAsia"/>
          <w:color w:val="000000" w:themeColor="text1"/>
          <w:szCs w:val="32"/>
          <w14:textFill>
            <w14:solidFill>
              <w14:schemeClr w14:val="tx1"/>
            </w14:solidFill>
          </w14:textFill>
        </w:rPr>
        <w:t>国有投资重大项目及公建项目实现设计阶段BIM技术全覆盖</w:t>
      </w:r>
      <w:r>
        <w:rPr>
          <w:rFonts w:hint="eastAsia"/>
          <w:color w:val="000000" w:themeColor="text1"/>
          <w:szCs w:val="32"/>
          <w:lang w:eastAsia="zh-CN"/>
          <w14:textFill>
            <w14:solidFill>
              <w14:schemeClr w14:val="tx1"/>
            </w14:solidFill>
          </w14:textFill>
        </w:rPr>
        <w:t>，</w:t>
      </w:r>
      <w:r>
        <w:rPr>
          <w:rFonts w:hint="eastAsia"/>
          <w:color w:val="000000" w:themeColor="text1"/>
          <w:szCs w:val="32"/>
          <w14:textFill>
            <w14:solidFill>
              <w14:schemeClr w14:val="tx1"/>
            </w14:solidFill>
          </w14:textFill>
        </w:rPr>
        <w:t>全市房屋建筑和市政基础设施工程“智慧工地”建设覆盖率达100%</w:t>
      </w:r>
      <w:r>
        <w:rPr>
          <w:rFonts w:hint="eastAsia"/>
          <w:color w:val="000000" w:themeColor="text1"/>
          <w:szCs w:val="32"/>
          <w:lang w:eastAsia="zh-CN"/>
          <w14:textFill>
            <w14:solidFill>
              <w14:schemeClr w14:val="tx1"/>
            </w14:solidFill>
          </w14:textFill>
        </w:rPr>
        <w:t>；</w:t>
      </w:r>
      <w:r>
        <w:rPr>
          <w:rFonts w:hint="eastAsia"/>
          <w:color w:val="000000" w:themeColor="text1"/>
          <w:szCs w:val="32"/>
          <w14:textFill>
            <w14:solidFill>
              <w14:schemeClr w14:val="tx1"/>
            </w14:solidFill>
          </w14:textFill>
        </w:rPr>
        <w:t>打造智能建造</w:t>
      </w:r>
      <w:r>
        <w:rPr>
          <w:rFonts w:hint="eastAsia"/>
          <w:color w:val="000000" w:themeColor="text1"/>
          <w:szCs w:val="32"/>
          <w:lang w:eastAsia="zh-CN"/>
          <w14:textFill>
            <w14:solidFill>
              <w14:schemeClr w14:val="tx1"/>
            </w14:solidFill>
          </w14:textFill>
        </w:rPr>
        <w:t>领域</w:t>
      </w:r>
      <w:r>
        <w:rPr>
          <w:rFonts w:hint="eastAsia"/>
          <w:color w:val="000000" w:themeColor="text1"/>
          <w:szCs w:val="32"/>
          <w14:textFill>
            <w14:solidFill>
              <w14:schemeClr w14:val="tx1"/>
            </w14:solidFill>
          </w14:textFill>
        </w:rPr>
        <w:t>重点实验室不少于1个，发展建筑产业互联网平台不少于3个。</w:t>
      </w:r>
    </w:p>
    <w:p>
      <w:pPr>
        <w:pStyle w:val="4"/>
        <w:ind w:firstLine="643"/>
      </w:pPr>
      <w:bookmarkStart w:id="126" w:name="_Toc66457133"/>
      <w:bookmarkStart w:id="127" w:name="_Toc91149494"/>
      <w:r>
        <w:rPr>
          <w:rFonts w:hint="eastAsia"/>
        </w:rPr>
        <w:t>5．行业治理现代化目标</w:t>
      </w:r>
      <w:bookmarkEnd w:id="126"/>
      <w:bookmarkEnd w:id="127"/>
    </w:p>
    <w:p>
      <w:pPr>
        <w:ind w:firstLine="640"/>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信用评价体系持续完善，市场各方主体行为更加规范，建筑市场秩序进一步好转，统一开放、公平有序的建筑市场规则和格局形成，营商环境不断优化。监理、造价</w:t>
      </w:r>
      <w:r>
        <w:rPr>
          <w:rFonts w:hint="eastAsia"/>
          <w:color w:val="000000" w:themeColor="text1"/>
          <w:szCs w:val="32"/>
          <w:lang w:eastAsia="zh-CN"/>
          <w14:textFill>
            <w14:solidFill>
              <w14:schemeClr w14:val="tx1"/>
            </w14:solidFill>
          </w14:textFill>
        </w:rPr>
        <w:t>咨询</w:t>
      </w:r>
      <w:r>
        <w:rPr>
          <w:rFonts w:hint="eastAsia"/>
          <w:color w:val="000000" w:themeColor="text1"/>
          <w:szCs w:val="32"/>
          <w14:textFill>
            <w14:solidFill>
              <w14:schemeClr w14:val="tx1"/>
            </w14:solidFill>
          </w14:textFill>
        </w:rPr>
        <w:t>、检测行业诚信监管实现全覆盖，市场联合监管体系初步构建，监管</w:t>
      </w:r>
      <w:r>
        <w:rPr>
          <w:rFonts w:hint="eastAsia"/>
          <w:color w:val="000000" w:themeColor="text1"/>
          <w:szCs w:val="32"/>
          <w:lang w:eastAsia="zh-CN"/>
          <w14:textFill>
            <w14:solidFill>
              <w14:schemeClr w14:val="tx1"/>
            </w14:solidFill>
          </w14:textFill>
        </w:rPr>
        <w:t>力度</w:t>
      </w:r>
      <w:r>
        <w:rPr>
          <w:rFonts w:hint="eastAsia"/>
          <w:color w:val="000000" w:themeColor="text1"/>
          <w:szCs w:val="32"/>
          <w14:textFill>
            <w14:solidFill>
              <w14:schemeClr w14:val="tx1"/>
            </w14:solidFill>
          </w14:textFill>
        </w:rPr>
        <w:t>不断加大，市场监管信息化程度不断提高。</w:t>
      </w:r>
    </w:p>
    <w:p>
      <w:pPr>
        <w:ind w:firstLine="640"/>
        <w:rPr>
          <w:color w:val="000000" w:themeColor="text1"/>
          <w:szCs w:val="32"/>
          <w14:textFill>
            <w14:solidFill>
              <w14:schemeClr w14:val="tx1"/>
            </w14:solidFill>
          </w14:textFill>
        </w:rPr>
      </w:pPr>
    </w:p>
    <w:p>
      <w:pPr>
        <w:pStyle w:val="2"/>
        <w:rPr>
          <w:color w:val="000000" w:themeColor="text1"/>
          <w:szCs w:val="32"/>
          <w14:textFill>
            <w14:solidFill>
              <w14:schemeClr w14:val="tx1"/>
            </w14:solidFill>
          </w14:textFill>
        </w:rPr>
      </w:pPr>
    </w:p>
    <w:p/>
    <w:p>
      <w:pPr>
        <w:pStyle w:val="6"/>
        <w:ind w:firstLine="0" w:firstLineChars="0"/>
        <w:jc w:val="center"/>
        <w:rPr>
          <w:rFonts w:ascii="方正仿宋_GBK" w:eastAsia="方正仿宋_GBK" w:cstheme="minorBidi"/>
          <w:color w:val="000000" w:themeColor="text1"/>
          <w:sz w:val="44"/>
          <w:szCs w:val="44"/>
          <w14:textFill>
            <w14:solidFill>
              <w14:schemeClr w14:val="tx1"/>
            </w14:solidFill>
          </w14:textFill>
        </w:rPr>
      </w:pPr>
      <w:r>
        <w:rPr>
          <w:rFonts w:hint="eastAsia" w:ascii="方正仿宋_GBK" w:eastAsia="方正仿宋_GBK"/>
          <w:sz w:val="28"/>
          <w:szCs w:val="28"/>
        </w:rPr>
        <w:t>表</w:t>
      </w:r>
      <w:r>
        <w:rPr>
          <w:rFonts w:ascii="Times New Roman" w:hAnsi="Times New Roman" w:eastAsia="方正仿宋_GBK"/>
          <w:sz w:val="28"/>
          <w:szCs w:val="28"/>
        </w:rPr>
        <w:fldChar w:fldCharType="begin"/>
      </w:r>
      <w:r>
        <w:rPr>
          <w:rFonts w:ascii="Times New Roman" w:hAnsi="Times New Roman" w:eastAsia="方正仿宋_GBK"/>
          <w:sz w:val="28"/>
          <w:szCs w:val="28"/>
        </w:rPr>
        <w:instrText xml:space="preserve"> SEQ 表 \* ARABIC </w:instrText>
      </w:r>
      <w:r>
        <w:rPr>
          <w:rFonts w:ascii="Times New Roman" w:hAnsi="Times New Roman" w:eastAsia="方正仿宋_GBK"/>
          <w:sz w:val="28"/>
          <w:szCs w:val="28"/>
        </w:rPr>
        <w:fldChar w:fldCharType="separate"/>
      </w:r>
      <w:r>
        <w:rPr>
          <w:rFonts w:ascii="Times New Roman" w:hAnsi="Times New Roman" w:eastAsia="方正仿宋_GBK"/>
          <w:sz w:val="28"/>
          <w:szCs w:val="28"/>
        </w:rPr>
        <w:t>3</w:t>
      </w:r>
      <w:r>
        <w:rPr>
          <w:rFonts w:ascii="Times New Roman" w:hAnsi="Times New Roman" w:eastAsia="方正仿宋_GBK"/>
          <w:sz w:val="28"/>
          <w:szCs w:val="28"/>
        </w:rPr>
        <w:fldChar w:fldCharType="end"/>
      </w:r>
      <w:r>
        <w:rPr>
          <w:rFonts w:hint="eastAsia" w:ascii="方正仿宋_GBK" w:eastAsia="方正仿宋_GBK"/>
          <w:sz w:val="28"/>
          <w:szCs w:val="28"/>
        </w:rPr>
        <w:t xml:space="preserve"> 重庆市建筑业发展“十四五”规划主要指标</w:t>
      </w:r>
    </w:p>
    <w:tbl>
      <w:tblPr>
        <w:tblStyle w:val="15"/>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33"/>
        <w:gridCol w:w="916"/>
        <w:gridCol w:w="4820"/>
        <w:gridCol w:w="25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556" w:type="pct"/>
            <w:vAlign w:val="center"/>
          </w:tcPr>
          <w:p>
            <w:pPr>
              <w:widowControl/>
              <w:spacing w:line="500" w:lineRule="exact"/>
              <w:ind w:firstLine="0" w:firstLineChars="0"/>
              <w:jc w:val="center"/>
              <w:rPr>
                <w:b/>
                <w:bCs/>
                <w:color w:val="000000"/>
                <w:kern w:val="0"/>
                <w:sz w:val="28"/>
                <w:szCs w:val="28"/>
              </w:rPr>
            </w:pPr>
            <w:r>
              <w:rPr>
                <w:b/>
                <w:bCs/>
                <w:color w:val="000000"/>
                <w:kern w:val="0"/>
                <w:sz w:val="28"/>
                <w:szCs w:val="28"/>
              </w:rPr>
              <w:t>序号</w:t>
            </w:r>
          </w:p>
        </w:tc>
        <w:tc>
          <w:tcPr>
            <w:tcW w:w="3088" w:type="pct"/>
            <w:gridSpan w:val="2"/>
            <w:vAlign w:val="center"/>
          </w:tcPr>
          <w:p>
            <w:pPr>
              <w:widowControl/>
              <w:spacing w:line="500" w:lineRule="exact"/>
              <w:ind w:firstLine="0" w:firstLineChars="0"/>
              <w:jc w:val="center"/>
              <w:rPr>
                <w:b/>
                <w:bCs/>
                <w:color w:val="000000"/>
                <w:kern w:val="0"/>
                <w:sz w:val="28"/>
                <w:szCs w:val="28"/>
              </w:rPr>
            </w:pPr>
            <w:r>
              <w:rPr>
                <w:b/>
                <w:bCs/>
                <w:color w:val="000000"/>
                <w:kern w:val="0"/>
                <w:sz w:val="28"/>
                <w:szCs w:val="28"/>
              </w:rPr>
              <w:t>指标</w:t>
            </w:r>
          </w:p>
        </w:tc>
        <w:tc>
          <w:tcPr>
            <w:tcW w:w="1355" w:type="pct"/>
            <w:vAlign w:val="center"/>
          </w:tcPr>
          <w:p>
            <w:pPr>
              <w:widowControl/>
              <w:spacing w:line="600" w:lineRule="exact"/>
              <w:ind w:firstLine="0" w:firstLineChars="0"/>
              <w:jc w:val="center"/>
              <w:rPr>
                <w:b/>
                <w:bCs/>
                <w:color w:val="000000"/>
                <w:kern w:val="0"/>
                <w:sz w:val="28"/>
                <w:szCs w:val="28"/>
              </w:rPr>
            </w:pPr>
            <w:r>
              <w:rPr>
                <w:b/>
                <w:bCs/>
                <w:color w:val="000000"/>
                <w:kern w:val="0"/>
                <w:sz w:val="28"/>
                <w:szCs w:val="28"/>
              </w:rPr>
              <w:t>2025年目标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556" w:type="pct"/>
            <w:vAlign w:val="center"/>
          </w:tcPr>
          <w:p>
            <w:pPr>
              <w:widowControl/>
              <w:numPr>
                <w:ilvl w:val="0"/>
                <w:numId w:val="4"/>
              </w:numPr>
              <w:spacing w:line="500" w:lineRule="exact"/>
              <w:ind w:firstLineChars="0"/>
              <w:jc w:val="center"/>
              <w:rPr>
                <w:color w:val="000000"/>
                <w:kern w:val="0"/>
                <w:sz w:val="28"/>
                <w:szCs w:val="28"/>
              </w:rPr>
            </w:pPr>
          </w:p>
        </w:tc>
        <w:tc>
          <w:tcPr>
            <w:tcW w:w="493" w:type="pct"/>
            <w:vMerge w:val="restart"/>
            <w:vAlign w:val="center"/>
          </w:tcPr>
          <w:p>
            <w:pPr>
              <w:widowControl/>
              <w:spacing w:line="500" w:lineRule="exact"/>
              <w:ind w:firstLine="0" w:firstLineChars="0"/>
              <w:jc w:val="center"/>
              <w:rPr>
                <w:color w:val="000000"/>
                <w:kern w:val="0"/>
                <w:sz w:val="28"/>
                <w:szCs w:val="28"/>
              </w:rPr>
            </w:pPr>
            <w:r>
              <w:rPr>
                <w:color w:val="000000"/>
                <w:kern w:val="0"/>
                <w:sz w:val="28"/>
                <w:szCs w:val="28"/>
              </w:rPr>
              <w:t>市场规模</w:t>
            </w:r>
          </w:p>
        </w:tc>
        <w:tc>
          <w:tcPr>
            <w:tcW w:w="2594" w:type="pct"/>
            <w:vAlign w:val="center"/>
          </w:tcPr>
          <w:p>
            <w:pPr>
              <w:widowControl/>
              <w:spacing w:line="500" w:lineRule="exact"/>
              <w:ind w:firstLine="0" w:firstLineChars="0"/>
              <w:jc w:val="left"/>
              <w:rPr>
                <w:color w:val="000000"/>
                <w:kern w:val="0"/>
                <w:sz w:val="28"/>
                <w:szCs w:val="28"/>
              </w:rPr>
            </w:pPr>
            <w:r>
              <w:rPr>
                <w:color w:val="000000"/>
                <w:kern w:val="0"/>
                <w:sz w:val="28"/>
                <w:szCs w:val="28"/>
              </w:rPr>
              <w:t>建筑业总产值</w:t>
            </w:r>
          </w:p>
        </w:tc>
        <w:tc>
          <w:tcPr>
            <w:tcW w:w="1355" w:type="pct"/>
            <w:vAlign w:val="center"/>
          </w:tcPr>
          <w:p>
            <w:pPr>
              <w:widowControl/>
              <w:spacing w:line="600" w:lineRule="exact"/>
              <w:ind w:firstLine="0" w:firstLineChars="0"/>
              <w:jc w:val="center"/>
              <w:rPr>
                <w:color w:val="000000"/>
                <w:kern w:val="0"/>
                <w:sz w:val="28"/>
                <w:szCs w:val="28"/>
              </w:rPr>
            </w:pPr>
            <w:r>
              <w:rPr>
                <w:rFonts w:hint="eastAsia"/>
                <w:color w:val="000000"/>
                <w:kern w:val="0"/>
                <w:sz w:val="28"/>
                <w:szCs w:val="28"/>
              </w:rPr>
              <w:t>12000亿元以上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556" w:type="pct"/>
            <w:vAlign w:val="center"/>
          </w:tcPr>
          <w:p>
            <w:pPr>
              <w:widowControl/>
              <w:numPr>
                <w:ilvl w:val="0"/>
                <w:numId w:val="4"/>
              </w:numPr>
              <w:spacing w:line="500" w:lineRule="exact"/>
              <w:ind w:firstLineChars="0"/>
              <w:jc w:val="center"/>
              <w:rPr>
                <w:color w:val="000000"/>
                <w:kern w:val="0"/>
                <w:sz w:val="28"/>
                <w:szCs w:val="28"/>
              </w:rPr>
            </w:pPr>
          </w:p>
        </w:tc>
        <w:tc>
          <w:tcPr>
            <w:tcW w:w="493" w:type="pct"/>
            <w:vMerge w:val="continue"/>
            <w:vAlign w:val="center"/>
          </w:tcPr>
          <w:p>
            <w:pPr>
              <w:widowControl/>
              <w:spacing w:line="500" w:lineRule="exact"/>
              <w:ind w:firstLine="0" w:firstLineChars="0"/>
              <w:jc w:val="center"/>
              <w:rPr>
                <w:color w:val="000000"/>
                <w:kern w:val="0"/>
                <w:sz w:val="28"/>
                <w:szCs w:val="28"/>
              </w:rPr>
            </w:pPr>
          </w:p>
        </w:tc>
        <w:tc>
          <w:tcPr>
            <w:tcW w:w="2594" w:type="pct"/>
            <w:vAlign w:val="center"/>
          </w:tcPr>
          <w:p>
            <w:pPr>
              <w:widowControl/>
              <w:spacing w:line="500" w:lineRule="exact"/>
              <w:ind w:firstLine="0" w:firstLineChars="0"/>
              <w:jc w:val="left"/>
              <w:rPr>
                <w:color w:val="000000"/>
                <w:kern w:val="0"/>
                <w:sz w:val="28"/>
                <w:szCs w:val="28"/>
              </w:rPr>
            </w:pPr>
            <w:r>
              <w:rPr>
                <w:rFonts w:hint="eastAsia"/>
                <w:color w:val="000000"/>
                <w:kern w:val="0"/>
                <w:sz w:val="28"/>
                <w:szCs w:val="28"/>
              </w:rPr>
              <w:t>建筑业增加值</w:t>
            </w:r>
          </w:p>
        </w:tc>
        <w:tc>
          <w:tcPr>
            <w:tcW w:w="1355" w:type="pct"/>
            <w:vAlign w:val="center"/>
          </w:tcPr>
          <w:p>
            <w:pPr>
              <w:widowControl/>
              <w:spacing w:line="600" w:lineRule="exact"/>
              <w:ind w:firstLine="0" w:firstLineChars="0"/>
              <w:jc w:val="center"/>
              <w:rPr>
                <w:color w:val="000000"/>
                <w:kern w:val="0"/>
                <w:sz w:val="28"/>
                <w:szCs w:val="28"/>
              </w:rPr>
            </w:pPr>
            <w:r>
              <w:rPr>
                <w:rFonts w:hint="eastAsia"/>
                <w:color w:val="000000"/>
                <w:kern w:val="0"/>
                <w:sz w:val="28"/>
                <w:szCs w:val="28"/>
              </w:rPr>
              <w:t>4000亿以上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556" w:type="pct"/>
            <w:vAlign w:val="center"/>
          </w:tcPr>
          <w:p>
            <w:pPr>
              <w:widowControl/>
              <w:numPr>
                <w:ilvl w:val="0"/>
                <w:numId w:val="4"/>
              </w:numPr>
              <w:spacing w:line="500" w:lineRule="exact"/>
              <w:ind w:firstLineChars="0"/>
              <w:jc w:val="center"/>
              <w:rPr>
                <w:color w:val="000000"/>
                <w:kern w:val="0"/>
                <w:sz w:val="28"/>
                <w:szCs w:val="28"/>
              </w:rPr>
            </w:pPr>
          </w:p>
        </w:tc>
        <w:tc>
          <w:tcPr>
            <w:tcW w:w="493" w:type="pct"/>
            <w:vMerge w:val="continue"/>
            <w:vAlign w:val="center"/>
          </w:tcPr>
          <w:p>
            <w:pPr>
              <w:widowControl/>
              <w:spacing w:line="500" w:lineRule="exact"/>
              <w:ind w:firstLine="0" w:firstLineChars="0"/>
              <w:jc w:val="center"/>
              <w:rPr>
                <w:color w:val="000000"/>
                <w:kern w:val="0"/>
                <w:sz w:val="28"/>
                <w:szCs w:val="28"/>
              </w:rPr>
            </w:pPr>
          </w:p>
        </w:tc>
        <w:tc>
          <w:tcPr>
            <w:tcW w:w="2594" w:type="pct"/>
            <w:vAlign w:val="center"/>
          </w:tcPr>
          <w:p>
            <w:pPr>
              <w:widowControl/>
              <w:spacing w:line="500" w:lineRule="exact"/>
              <w:ind w:firstLine="0" w:firstLineChars="0"/>
              <w:jc w:val="left"/>
              <w:rPr>
                <w:color w:val="000000"/>
                <w:kern w:val="0"/>
                <w:sz w:val="28"/>
                <w:szCs w:val="28"/>
              </w:rPr>
            </w:pPr>
            <w:r>
              <w:rPr>
                <w:rFonts w:hint="eastAsia"/>
                <w:color w:val="000000"/>
                <w:kern w:val="0"/>
                <w:sz w:val="28"/>
                <w:szCs w:val="28"/>
              </w:rPr>
              <w:t>建筑业增加值占地区生产总值比重</w:t>
            </w:r>
          </w:p>
        </w:tc>
        <w:tc>
          <w:tcPr>
            <w:tcW w:w="1355" w:type="pct"/>
            <w:vAlign w:val="center"/>
          </w:tcPr>
          <w:p>
            <w:pPr>
              <w:widowControl/>
              <w:spacing w:line="600" w:lineRule="exact"/>
              <w:ind w:firstLine="0" w:firstLineChars="0"/>
              <w:jc w:val="center"/>
              <w:rPr>
                <w:color w:val="000000"/>
                <w:kern w:val="0"/>
                <w:sz w:val="28"/>
                <w:szCs w:val="28"/>
              </w:rPr>
            </w:pPr>
            <w:r>
              <w:rPr>
                <w:rFonts w:hint="eastAsia"/>
                <w:color w:val="000000"/>
                <w:kern w:val="0"/>
                <w:sz w:val="28"/>
                <w:szCs w:val="28"/>
              </w:rPr>
              <w:t>10%左右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 w:hRule="atLeast"/>
          <w:jc w:val="center"/>
        </w:trPr>
        <w:tc>
          <w:tcPr>
            <w:tcW w:w="556" w:type="pct"/>
            <w:vAlign w:val="center"/>
          </w:tcPr>
          <w:p>
            <w:pPr>
              <w:widowControl/>
              <w:numPr>
                <w:ilvl w:val="0"/>
                <w:numId w:val="4"/>
              </w:numPr>
              <w:spacing w:line="500" w:lineRule="exact"/>
              <w:ind w:firstLineChars="0"/>
              <w:jc w:val="center"/>
              <w:rPr>
                <w:color w:val="000000"/>
                <w:kern w:val="0"/>
                <w:sz w:val="28"/>
                <w:szCs w:val="28"/>
              </w:rPr>
            </w:pPr>
          </w:p>
        </w:tc>
        <w:tc>
          <w:tcPr>
            <w:tcW w:w="493" w:type="pct"/>
            <w:vMerge w:val="continue"/>
            <w:vAlign w:val="center"/>
          </w:tcPr>
          <w:p>
            <w:pPr>
              <w:spacing w:line="500" w:lineRule="exact"/>
              <w:ind w:firstLine="0" w:firstLineChars="0"/>
              <w:jc w:val="center"/>
              <w:rPr>
                <w:color w:val="000000"/>
                <w:kern w:val="0"/>
                <w:sz w:val="28"/>
                <w:szCs w:val="28"/>
              </w:rPr>
            </w:pPr>
          </w:p>
        </w:tc>
        <w:tc>
          <w:tcPr>
            <w:tcW w:w="2594" w:type="pct"/>
            <w:vAlign w:val="center"/>
          </w:tcPr>
          <w:p>
            <w:pPr>
              <w:widowControl/>
              <w:spacing w:line="500" w:lineRule="exact"/>
              <w:ind w:firstLine="0" w:firstLineChars="0"/>
              <w:jc w:val="left"/>
              <w:rPr>
                <w:color w:val="000000"/>
                <w:kern w:val="0"/>
                <w:sz w:val="28"/>
                <w:szCs w:val="28"/>
              </w:rPr>
            </w:pPr>
            <w:r>
              <w:rPr>
                <w:color w:val="000000"/>
                <w:kern w:val="0"/>
                <w:sz w:val="28"/>
                <w:szCs w:val="28"/>
              </w:rPr>
              <w:t>施工</w:t>
            </w:r>
            <w:r>
              <w:rPr>
                <w:rFonts w:hint="eastAsia"/>
                <w:color w:val="000000"/>
                <w:kern w:val="0"/>
                <w:sz w:val="28"/>
                <w:szCs w:val="28"/>
              </w:rPr>
              <w:t>特级</w:t>
            </w:r>
            <w:r>
              <w:rPr>
                <w:color w:val="000000"/>
                <w:kern w:val="0"/>
                <w:sz w:val="28"/>
                <w:szCs w:val="28"/>
              </w:rPr>
              <w:t>资质企业</w:t>
            </w:r>
          </w:p>
        </w:tc>
        <w:tc>
          <w:tcPr>
            <w:tcW w:w="1355" w:type="pct"/>
            <w:vAlign w:val="center"/>
          </w:tcPr>
          <w:p>
            <w:pPr>
              <w:widowControl/>
              <w:spacing w:line="600" w:lineRule="exact"/>
              <w:ind w:firstLine="0" w:firstLineChars="0"/>
              <w:jc w:val="center"/>
              <w:rPr>
                <w:color w:val="000000"/>
                <w:kern w:val="0"/>
                <w:sz w:val="28"/>
                <w:szCs w:val="28"/>
              </w:rPr>
            </w:pPr>
            <w:r>
              <w:rPr>
                <w:rFonts w:hint="eastAsia"/>
                <w:color w:val="000000"/>
                <w:kern w:val="0"/>
                <w:sz w:val="28"/>
                <w:szCs w:val="28"/>
              </w:rPr>
              <w:t>15家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 w:hRule="atLeast"/>
          <w:jc w:val="center"/>
        </w:trPr>
        <w:tc>
          <w:tcPr>
            <w:tcW w:w="556" w:type="pct"/>
            <w:vAlign w:val="center"/>
          </w:tcPr>
          <w:p>
            <w:pPr>
              <w:widowControl/>
              <w:numPr>
                <w:ilvl w:val="0"/>
                <w:numId w:val="4"/>
              </w:numPr>
              <w:spacing w:line="500" w:lineRule="exact"/>
              <w:ind w:firstLineChars="0"/>
              <w:jc w:val="center"/>
              <w:rPr>
                <w:color w:val="000000"/>
                <w:kern w:val="0"/>
                <w:sz w:val="28"/>
                <w:szCs w:val="28"/>
              </w:rPr>
            </w:pPr>
          </w:p>
        </w:tc>
        <w:tc>
          <w:tcPr>
            <w:tcW w:w="493" w:type="pct"/>
            <w:vMerge w:val="continue"/>
            <w:vAlign w:val="center"/>
          </w:tcPr>
          <w:p>
            <w:pPr>
              <w:spacing w:line="500" w:lineRule="exact"/>
              <w:ind w:firstLine="0" w:firstLineChars="0"/>
              <w:jc w:val="center"/>
              <w:rPr>
                <w:color w:val="000000"/>
                <w:kern w:val="0"/>
                <w:sz w:val="28"/>
                <w:szCs w:val="28"/>
              </w:rPr>
            </w:pPr>
          </w:p>
        </w:tc>
        <w:tc>
          <w:tcPr>
            <w:tcW w:w="2594" w:type="pct"/>
            <w:vAlign w:val="center"/>
          </w:tcPr>
          <w:p>
            <w:pPr>
              <w:widowControl/>
              <w:spacing w:line="500" w:lineRule="exact"/>
              <w:ind w:firstLine="0" w:firstLineChars="0"/>
              <w:jc w:val="left"/>
              <w:rPr>
                <w:color w:val="000000"/>
                <w:kern w:val="0"/>
                <w:sz w:val="28"/>
                <w:szCs w:val="28"/>
              </w:rPr>
            </w:pPr>
            <w:r>
              <w:rPr>
                <w:rFonts w:hint="eastAsia"/>
                <w:color w:val="000000"/>
                <w:kern w:val="0"/>
                <w:sz w:val="28"/>
                <w:szCs w:val="28"/>
              </w:rPr>
              <w:t>工程监理综合资质企业</w:t>
            </w:r>
          </w:p>
        </w:tc>
        <w:tc>
          <w:tcPr>
            <w:tcW w:w="1355" w:type="pct"/>
            <w:vAlign w:val="center"/>
          </w:tcPr>
          <w:p>
            <w:pPr>
              <w:widowControl/>
              <w:spacing w:line="600" w:lineRule="exact"/>
              <w:ind w:firstLine="0" w:firstLineChars="0"/>
              <w:jc w:val="center"/>
              <w:rPr>
                <w:color w:val="000000"/>
                <w:kern w:val="0"/>
                <w:sz w:val="28"/>
                <w:szCs w:val="28"/>
              </w:rPr>
            </w:pPr>
            <w:r>
              <w:rPr>
                <w:rFonts w:hint="eastAsia"/>
                <w:color w:val="000000"/>
                <w:kern w:val="0"/>
                <w:sz w:val="28"/>
                <w:szCs w:val="28"/>
              </w:rPr>
              <w:t>5家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7" w:hRule="atLeast"/>
          <w:jc w:val="center"/>
        </w:trPr>
        <w:tc>
          <w:tcPr>
            <w:tcW w:w="556" w:type="pct"/>
            <w:vAlign w:val="center"/>
          </w:tcPr>
          <w:p>
            <w:pPr>
              <w:widowControl/>
              <w:numPr>
                <w:ilvl w:val="0"/>
                <w:numId w:val="4"/>
              </w:numPr>
              <w:spacing w:line="500" w:lineRule="exact"/>
              <w:ind w:firstLineChars="0"/>
              <w:jc w:val="center"/>
              <w:rPr>
                <w:color w:val="000000"/>
                <w:kern w:val="0"/>
                <w:sz w:val="28"/>
                <w:szCs w:val="28"/>
              </w:rPr>
            </w:pPr>
          </w:p>
        </w:tc>
        <w:tc>
          <w:tcPr>
            <w:tcW w:w="493" w:type="pct"/>
            <w:vMerge w:val="continue"/>
            <w:vAlign w:val="center"/>
          </w:tcPr>
          <w:p>
            <w:pPr>
              <w:widowControl/>
              <w:spacing w:line="500" w:lineRule="exact"/>
              <w:ind w:firstLine="0" w:firstLineChars="0"/>
              <w:jc w:val="center"/>
              <w:rPr>
                <w:color w:val="000000"/>
                <w:kern w:val="0"/>
                <w:sz w:val="28"/>
                <w:szCs w:val="28"/>
              </w:rPr>
            </w:pPr>
          </w:p>
        </w:tc>
        <w:tc>
          <w:tcPr>
            <w:tcW w:w="2594" w:type="pct"/>
            <w:vAlign w:val="center"/>
          </w:tcPr>
          <w:p>
            <w:pPr>
              <w:widowControl/>
              <w:spacing w:line="500" w:lineRule="exact"/>
              <w:ind w:firstLine="0" w:firstLineChars="0"/>
              <w:jc w:val="left"/>
              <w:rPr>
                <w:color w:val="000000"/>
                <w:kern w:val="0"/>
                <w:sz w:val="28"/>
                <w:szCs w:val="28"/>
              </w:rPr>
            </w:pPr>
            <w:r>
              <w:rPr>
                <w:rFonts w:hint="eastAsia"/>
                <w:color w:val="000000"/>
                <w:kern w:val="0"/>
                <w:sz w:val="28"/>
                <w:szCs w:val="28"/>
              </w:rPr>
              <w:t>工程总承包骨干企业数量</w:t>
            </w:r>
          </w:p>
        </w:tc>
        <w:tc>
          <w:tcPr>
            <w:tcW w:w="1355" w:type="pct"/>
            <w:vAlign w:val="center"/>
          </w:tcPr>
          <w:p>
            <w:pPr>
              <w:widowControl/>
              <w:spacing w:line="600" w:lineRule="exact"/>
              <w:ind w:firstLine="0" w:firstLineChars="0"/>
              <w:jc w:val="center"/>
              <w:rPr>
                <w:color w:val="000000"/>
                <w:kern w:val="0"/>
                <w:sz w:val="28"/>
                <w:szCs w:val="28"/>
              </w:rPr>
            </w:pPr>
            <w:r>
              <w:rPr>
                <w:rFonts w:hint="eastAsia"/>
                <w:color w:val="000000"/>
                <w:kern w:val="0"/>
                <w:sz w:val="28"/>
                <w:szCs w:val="28"/>
              </w:rPr>
              <w:t>10</w:t>
            </w:r>
            <w:r>
              <w:rPr>
                <w:color w:val="000000"/>
                <w:kern w:val="0"/>
                <w:sz w:val="28"/>
                <w:szCs w:val="28"/>
              </w:rPr>
              <w:t>0家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7" w:hRule="atLeast"/>
          <w:jc w:val="center"/>
        </w:trPr>
        <w:tc>
          <w:tcPr>
            <w:tcW w:w="556" w:type="pct"/>
            <w:vAlign w:val="center"/>
          </w:tcPr>
          <w:p>
            <w:pPr>
              <w:widowControl/>
              <w:numPr>
                <w:ilvl w:val="0"/>
                <w:numId w:val="4"/>
              </w:numPr>
              <w:spacing w:line="500" w:lineRule="exact"/>
              <w:ind w:firstLineChars="0"/>
              <w:jc w:val="center"/>
              <w:rPr>
                <w:color w:val="000000"/>
                <w:kern w:val="0"/>
                <w:sz w:val="28"/>
                <w:szCs w:val="28"/>
              </w:rPr>
            </w:pPr>
          </w:p>
        </w:tc>
        <w:tc>
          <w:tcPr>
            <w:tcW w:w="493" w:type="pct"/>
            <w:vMerge w:val="continue"/>
            <w:vAlign w:val="center"/>
          </w:tcPr>
          <w:p>
            <w:pPr>
              <w:widowControl/>
              <w:spacing w:line="500" w:lineRule="exact"/>
              <w:ind w:firstLine="0" w:firstLineChars="0"/>
              <w:jc w:val="center"/>
              <w:rPr>
                <w:color w:val="000000"/>
                <w:kern w:val="0"/>
                <w:sz w:val="28"/>
                <w:szCs w:val="28"/>
              </w:rPr>
            </w:pPr>
          </w:p>
        </w:tc>
        <w:tc>
          <w:tcPr>
            <w:tcW w:w="2594" w:type="pct"/>
            <w:vAlign w:val="center"/>
          </w:tcPr>
          <w:p>
            <w:pPr>
              <w:widowControl/>
              <w:spacing w:line="500" w:lineRule="exact"/>
              <w:ind w:firstLine="0" w:firstLineChars="0"/>
              <w:jc w:val="left"/>
              <w:rPr>
                <w:color w:val="000000"/>
                <w:kern w:val="0"/>
                <w:sz w:val="28"/>
                <w:szCs w:val="28"/>
              </w:rPr>
            </w:pPr>
            <w:r>
              <w:rPr>
                <w:rFonts w:hint="eastAsia"/>
                <w:color w:val="000000"/>
                <w:kern w:val="0"/>
                <w:sz w:val="28"/>
                <w:szCs w:val="28"/>
              </w:rPr>
              <w:t>全过程咨询骨干企业数量</w:t>
            </w:r>
          </w:p>
        </w:tc>
        <w:tc>
          <w:tcPr>
            <w:tcW w:w="1355" w:type="pct"/>
            <w:vAlign w:val="center"/>
          </w:tcPr>
          <w:p>
            <w:pPr>
              <w:widowControl/>
              <w:spacing w:line="600" w:lineRule="exact"/>
              <w:ind w:firstLine="0" w:firstLineChars="0"/>
              <w:jc w:val="center"/>
              <w:rPr>
                <w:color w:val="000000"/>
                <w:kern w:val="0"/>
                <w:sz w:val="28"/>
                <w:szCs w:val="28"/>
              </w:rPr>
            </w:pPr>
            <w:r>
              <w:rPr>
                <w:rFonts w:hint="eastAsia"/>
                <w:color w:val="000000"/>
                <w:kern w:val="0"/>
                <w:sz w:val="28"/>
                <w:szCs w:val="28"/>
              </w:rPr>
              <w:t>60家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556" w:type="pct"/>
            <w:vAlign w:val="center"/>
          </w:tcPr>
          <w:p>
            <w:pPr>
              <w:widowControl/>
              <w:numPr>
                <w:ilvl w:val="0"/>
                <w:numId w:val="4"/>
              </w:numPr>
              <w:spacing w:line="500" w:lineRule="exact"/>
              <w:ind w:firstLineChars="0"/>
              <w:jc w:val="center"/>
              <w:rPr>
                <w:color w:val="000000"/>
                <w:kern w:val="0"/>
                <w:sz w:val="28"/>
                <w:szCs w:val="28"/>
              </w:rPr>
            </w:pPr>
          </w:p>
        </w:tc>
        <w:tc>
          <w:tcPr>
            <w:tcW w:w="493" w:type="pct"/>
            <w:vMerge w:val="continue"/>
            <w:vAlign w:val="center"/>
          </w:tcPr>
          <w:p>
            <w:pPr>
              <w:widowControl/>
              <w:spacing w:line="500" w:lineRule="exact"/>
              <w:ind w:firstLine="0" w:firstLineChars="0"/>
              <w:jc w:val="left"/>
              <w:rPr>
                <w:color w:val="000000"/>
                <w:kern w:val="0"/>
                <w:sz w:val="28"/>
                <w:szCs w:val="28"/>
              </w:rPr>
            </w:pPr>
          </w:p>
        </w:tc>
        <w:tc>
          <w:tcPr>
            <w:tcW w:w="2594" w:type="pct"/>
            <w:vAlign w:val="center"/>
          </w:tcPr>
          <w:p>
            <w:pPr>
              <w:widowControl/>
              <w:spacing w:line="500" w:lineRule="exact"/>
              <w:ind w:firstLine="0" w:firstLineChars="0"/>
              <w:jc w:val="left"/>
              <w:rPr>
                <w:color w:val="000000"/>
                <w:kern w:val="0"/>
                <w:sz w:val="28"/>
                <w:szCs w:val="28"/>
              </w:rPr>
            </w:pPr>
            <w:r>
              <w:rPr>
                <w:color w:val="000000"/>
                <w:kern w:val="0"/>
                <w:sz w:val="28"/>
                <w:szCs w:val="28"/>
              </w:rPr>
              <w:t>年产值超500亿元级企业</w:t>
            </w:r>
          </w:p>
        </w:tc>
        <w:tc>
          <w:tcPr>
            <w:tcW w:w="1355" w:type="pct"/>
            <w:vAlign w:val="center"/>
          </w:tcPr>
          <w:p>
            <w:pPr>
              <w:widowControl/>
              <w:spacing w:line="600" w:lineRule="exact"/>
              <w:ind w:firstLine="0" w:firstLineChars="0"/>
              <w:jc w:val="center"/>
              <w:rPr>
                <w:color w:val="000000"/>
                <w:kern w:val="0"/>
                <w:sz w:val="28"/>
                <w:szCs w:val="28"/>
              </w:rPr>
            </w:pPr>
            <w:r>
              <w:rPr>
                <w:color w:val="000000"/>
                <w:kern w:val="0"/>
                <w:sz w:val="28"/>
                <w:szCs w:val="28"/>
              </w:rPr>
              <w:t>2家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556" w:type="pct"/>
            <w:vAlign w:val="center"/>
          </w:tcPr>
          <w:p>
            <w:pPr>
              <w:widowControl/>
              <w:numPr>
                <w:ilvl w:val="0"/>
                <w:numId w:val="4"/>
              </w:numPr>
              <w:spacing w:line="500" w:lineRule="exact"/>
              <w:ind w:firstLineChars="0"/>
              <w:jc w:val="center"/>
              <w:rPr>
                <w:color w:val="000000"/>
                <w:kern w:val="0"/>
                <w:sz w:val="28"/>
                <w:szCs w:val="28"/>
              </w:rPr>
            </w:pPr>
          </w:p>
        </w:tc>
        <w:tc>
          <w:tcPr>
            <w:tcW w:w="493" w:type="pct"/>
            <w:vMerge w:val="continue"/>
            <w:vAlign w:val="center"/>
          </w:tcPr>
          <w:p>
            <w:pPr>
              <w:widowControl/>
              <w:spacing w:line="500" w:lineRule="exact"/>
              <w:ind w:firstLine="0" w:firstLineChars="0"/>
              <w:jc w:val="left"/>
              <w:rPr>
                <w:color w:val="000000"/>
                <w:kern w:val="0"/>
                <w:sz w:val="28"/>
                <w:szCs w:val="28"/>
              </w:rPr>
            </w:pPr>
          </w:p>
        </w:tc>
        <w:tc>
          <w:tcPr>
            <w:tcW w:w="2594" w:type="pct"/>
            <w:vAlign w:val="center"/>
          </w:tcPr>
          <w:p>
            <w:pPr>
              <w:widowControl/>
              <w:spacing w:line="500" w:lineRule="exact"/>
              <w:ind w:firstLine="0" w:firstLineChars="0"/>
              <w:jc w:val="left"/>
              <w:rPr>
                <w:color w:val="000000"/>
                <w:kern w:val="0"/>
                <w:sz w:val="28"/>
                <w:szCs w:val="28"/>
              </w:rPr>
            </w:pPr>
            <w:r>
              <w:rPr>
                <w:color w:val="000000"/>
                <w:kern w:val="0"/>
                <w:sz w:val="28"/>
                <w:szCs w:val="28"/>
              </w:rPr>
              <w:t>年产值超300亿元级企业</w:t>
            </w:r>
          </w:p>
        </w:tc>
        <w:tc>
          <w:tcPr>
            <w:tcW w:w="1355" w:type="pct"/>
            <w:vAlign w:val="center"/>
          </w:tcPr>
          <w:p>
            <w:pPr>
              <w:widowControl/>
              <w:spacing w:line="600" w:lineRule="exact"/>
              <w:ind w:firstLine="0" w:firstLineChars="0"/>
              <w:jc w:val="center"/>
              <w:rPr>
                <w:kern w:val="0"/>
                <w:sz w:val="28"/>
                <w:szCs w:val="28"/>
              </w:rPr>
            </w:pPr>
            <w:r>
              <w:rPr>
                <w:rFonts w:hint="eastAsia"/>
                <w:kern w:val="0"/>
                <w:sz w:val="28"/>
                <w:szCs w:val="28"/>
              </w:rPr>
              <w:t>4</w:t>
            </w:r>
            <w:r>
              <w:rPr>
                <w:kern w:val="0"/>
                <w:sz w:val="28"/>
                <w:szCs w:val="28"/>
              </w:rPr>
              <w:t>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556" w:type="pct"/>
            <w:vAlign w:val="center"/>
          </w:tcPr>
          <w:p>
            <w:pPr>
              <w:widowControl/>
              <w:numPr>
                <w:ilvl w:val="0"/>
                <w:numId w:val="4"/>
              </w:numPr>
              <w:spacing w:line="500" w:lineRule="exact"/>
              <w:ind w:firstLineChars="0"/>
              <w:jc w:val="center"/>
              <w:rPr>
                <w:color w:val="000000"/>
                <w:kern w:val="0"/>
                <w:sz w:val="28"/>
                <w:szCs w:val="28"/>
              </w:rPr>
            </w:pPr>
          </w:p>
        </w:tc>
        <w:tc>
          <w:tcPr>
            <w:tcW w:w="493" w:type="pct"/>
            <w:vMerge w:val="continue"/>
            <w:vAlign w:val="center"/>
          </w:tcPr>
          <w:p>
            <w:pPr>
              <w:widowControl/>
              <w:spacing w:line="500" w:lineRule="exact"/>
              <w:ind w:firstLine="0" w:firstLineChars="0"/>
              <w:jc w:val="left"/>
              <w:rPr>
                <w:color w:val="000000"/>
                <w:kern w:val="0"/>
                <w:sz w:val="28"/>
                <w:szCs w:val="28"/>
              </w:rPr>
            </w:pPr>
          </w:p>
        </w:tc>
        <w:tc>
          <w:tcPr>
            <w:tcW w:w="2594" w:type="pct"/>
            <w:vAlign w:val="center"/>
          </w:tcPr>
          <w:p>
            <w:pPr>
              <w:widowControl/>
              <w:spacing w:line="500" w:lineRule="exact"/>
              <w:ind w:firstLine="0" w:firstLineChars="0"/>
              <w:jc w:val="left"/>
              <w:rPr>
                <w:color w:val="000000"/>
                <w:kern w:val="0"/>
                <w:sz w:val="28"/>
                <w:szCs w:val="28"/>
              </w:rPr>
            </w:pPr>
            <w:r>
              <w:rPr>
                <w:color w:val="000000"/>
                <w:kern w:val="0"/>
                <w:sz w:val="28"/>
                <w:szCs w:val="28"/>
              </w:rPr>
              <w:t>年产值超</w:t>
            </w:r>
            <w:r>
              <w:rPr>
                <w:rFonts w:hint="eastAsia"/>
                <w:color w:val="000000"/>
                <w:kern w:val="0"/>
                <w:sz w:val="28"/>
                <w:szCs w:val="28"/>
              </w:rPr>
              <w:t>1</w:t>
            </w:r>
            <w:r>
              <w:rPr>
                <w:color w:val="000000"/>
                <w:kern w:val="0"/>
                <w:sz w:val="28"/>
                <w:szCs w:val="28"/>
              </w:rPr>
              <w:t>00亿元级企业</w:t>
            </w:r>
          </w:p>
        </w:tc>
        <w:tc>
          <w:tcPr>
            <w:tcW w:w="1355" w:type="pct"/>
            <w:vAlign w:val="center"/>
          </w:tcPr>
          <w:p>
            <w:pPr>
              <w:widowControl/>
              <w:spacing w:line="600" w:lineRule="exact"/>
              <w:ind w:firstLine="0" w:firstLineChars="0"/>
              <w:jc w:val="center"/>
              <w:rPr>
                <w:kern w:val="0"/>
                <w:sz w:val="28"/>
                <w:szCs w:val="28"/>
              </w:rPr>
            </w:pPr>
            <w:r>
              <w:rPr>
                <w:rFonts w:hint="eastAsia"/>
                <w:kern w:val="0"/>
                <w:sz w:val="28"/>
                <w:szCs w:val="28"/>
              </w:rPr>
              <w:t>13家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556" w:type="pct"/>
            <w:vAlign w:val="center"/>
          </w:tcPr>
          <w:p>
            <w:pPr>
              <w:widowControl/>
              <w:numPr>
                <w:ilvl w:val="0"/>
                <w:numId w:val="4"/>
              </w:numPr>
              <w:spacing w:line="500" w:lineRule="exact"/>
              <w:ind w:firstLineChars="0"/>
              <w:jc w:val="center"/>
              <w:rPr>
                <w:color w:val="000000"/>
                <w:kern w:val="0"/>
                <w:sz w:val="28"/>
                <w:szCs w:val="28"/>
              </w:rPr>
            </w:pPr>
          </w:p>
        </w:tc>
        <w:tc>
          <w:tcPr>
            <w:tcW w:w="493" w:type="pct"/>
            <w:vMerge w:val="restart"/>
            <w:vAlign w:val="center"/>
          </w:tcPr>
          <w:p>
            <w:pPr>
              <w:widowControl/>
              <w:spacing w:line="500" w:lineRule="exact"/>
              <w:ind w:firstLine="0" w:firstLineChars="0"/>
              <w:jc w:val="center"/>
              <w:rPr>
                <w:color w:val="000000"/>
                <w:kern w:val="0"/>
                <w:sz w:val="28"/>
                <w:szCs w:val="28"/>
              </w:rPr>
            </w:pPr>
            <w:r>
              <w:rPr>
                <w:color w:val="000000"/>
                <w:kern w:val="0"/>
                <w:sz w:val="28"/>
                <w:szCs w:val="28"/>
              </w:rPr>
              <w:t>科技创新</w:t>
            </w:r>
          </w:p>
        </w:tc>
        <w:tc>
          <w:tcPr>
            <w:tcW w:w="2594" w:type="pct"/>
            <w:vAlign w:val="center"/>
          </w:tcPr>
          <w:p>
            <w:pPr>
              <w:widowControl/>
              <w:spacing w:line="500" w:lineRule="exact"/>
              <w:ind w:firstLine="0" w:firstLineChars="0"/>
              <w:jc w:val="left"/>
              <w:rPr>
                <w:color w:val="000000"/>
                <w:kern w:val="0"/>
                <w:sz w:val="28"/>
                <w:szCs w:val="28"/>
              </w:rPr>
            </w:pPr>
            <w:r>
              <w:rPr>
                <w:color w:val="000000"/>
                <w:kern w:val="0"/>
                <w:sz w:val="28"/>
                <w:szCs w:val="28"/>
              </w:rPr>
              <w:t>装配式建筑面积占新建建筑面积比例</w:t>
            </w:r>
          </w:p>
        </w:tc>
        <w:tc>
          <w:tcPr>
            <w:tcW w:w="1355" w:type="pct"/>
            <w:vAlign w:val="center"/>
          </w:tcPr>
          <w:p>
            <w:pPr>
              <w:widowControl/>
              <w:spacing w:line="600" w:lineRule="exact"/>
              <w:ind w:firstLine="0" w:firstLineChars="0"/>
              <w:jc w:val="center"/>
              <w:rPr>
                <w:kern w:val="0"/>
                <w:sz w:val="28"/>
                <w:szCs w:val="28"/>
              </w:rPr>
            </w:pPr>
            <w:r>
              <w:rPr>
                <w:kern w:val="0"/>
                <w:sz w:val="28"/>
                <w:szCs w:val="28"/>
              </w:rPr>
              <w:t>30%以上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556" w:type="pct"/>
            <w:vAlign w:val="center"/>
          </w:tcPr>
          <w:p>
            <w:pPr>
              <w:widowControl/>
              <w:numPr>
                <w:ilvl w:val="0"/>
                <w:numId w:val="4"/>
              </w:numPr>
              <w:spacing w:line="500" w:lineRule="exact"/>
              <w:ind w:firstLineChars="0"/>
              <w:jc w:val="center"/>
              <w:rPr>
                <w:color w:val="000000"/>
                <w:kern w:val="0"/>
                <w:sz w:val="28"/>
                <w:szCs w:val="28"/>
              </w:rPr>
            </w:pPr>
          </w:p>
        </w:tc>
        <w:tc>
          <w:tcPr>
            <w:tcW w:w="493" w:type="pct"/>
            <w:vMerge w:val="continue"/>
            <w:vAlign w:val="center"/>
          </w:tcPr>
          <w:p>
            <w:pPr>
              <w:widowControl/>
              <w:spacing w:line="500" w:lineRule="exact"/>
              <w:ind w:firstLine="0" w:firstLineChars="0"/>
              <w:jc w:val="center"/>
              <w:rPr>
                <w:color w:val="000000"/>
                <w:kern w:val="0"/>
                <w:sz w:val="28"/>
                <w:szCs w:val="28"/>
              </w:rPr>
            </w:pPr>
          </w:p>
        </w:tc>
        <w:tc>
          <w:tcPr>
            <w:tcW w:w="2594" w:type="pct"/>
            <w:vAlign w:val="center"/>
          </w:tcPr>
          <w:p>
            <w:pPr>
              <w:widowControl/>
              <w:spacing w:line="500" w:lineRule="exact"/>
              <w:ind w:firstLine="0" w:firstLineChars="0"/>
              <w:jc w:val="left"/>
              <w:rPr>
                <w:color w:val="000000"/>
                <w:kern w:val="0"/>
                <w:sz w:val="28"/>
                <w:szCs w:val="28"/>
              </w:rPr>
            </w:pPr>
            <w:r>
              <w:rPr>
                <w:rFonts w:hint="eastAsia"/>
                <w:color w:val="000000"/>
                <w:kern w:val="0"/>
                <w:sz w:val="28"/>
                <w:szCs w:val="28"/>
              </w:rPr>
              <w:t>新建绿色建筑占比</w:t>
            </w:r>
          </w:p>
        </w:tc>
        <w:tc>
          <w:tcPr>
            <w:tcW w:w="1355" w:type="pct"/>
            <w:vAlign w:val="center"/>
          </w:tcPr>
          <w:p>
            <w:pPr>
              <w:widowControl/>
              <w:spacing w:line="600" w:lineRule="exact"/>
              <w:ind w:firstLine="0" w:firstLineChars="0"/>
              <w:jc w:val="center"/>
              <w:rPr>
                <w:kern w:val="0"/>
                <w:sz w:val="28"/>
                <w:szCs w:val="28"/>
              </w:rPr>
            </w:pPr>
            <w:r>
              <w:rPr>
                <w:rFonts w:hint="eastAsia"/>
                <w:kern w:val="0"/>
                <w:sz w:val="28"/>
                <w:szCs w:val="28"/>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556" w:type="pct"/>
            <w:vAlign w:val="center"/>
          </w:tcPr>
          <w:p>
            <w:pPr>
              <w:widowControl/>
              <w:spacing w:line="500" w:lineRule="exact"/>
              <w:ind w:firstLine="0" w:firstLineChars="0"/>
              <w:jc w:val="center"/>
              <w:rPr>
                <w:color w:val="000000"/>
                <w:kern w:val="0"/>
                <w:sz w:val="28"/>
                <w:szCs w:val="28"/>
              </w:rPr>
            </w:pPr>
            <w:r>
              <w:rPr>
                <w:rFonts w:hint="eastAsia"/>
                <w:color w:val="000000"/>
                <w:kern w:val="0"/>
                <w:sz w:val="28"/>
                <w:szCs w:val="28"/>
              </w:rPr>
              <w:t>13</w:t>
            </w:r>
          </w:p>
        </w:tc>
        <w:tc>
          <w:tcPr>
            <w:tcW w:w="493" w:type="pct"/>
            <w:vMerge w:val="continue"/>
            <w:vAlign w:val="center"/>
          </w:tcPr>
          <w:p>
            <w:pPr>
              <w:widowControl/>
              <w:spacing w:line="500" w:lineRule="exact"/>
              <w:ind w:firstLine="0" w:firstLineChars="0"/>
              <w:jc w:val="center"/>
              <w:rPr>
                <w:color w:val="000000"/>
                <w:kern w:val="0"/>
                <w:sz w:val="28"/>
                <w:szCs w:val="28"/>
              </w:rPr>
            </w:pPr>
          </w:p>
        </w:tc>
        <w:tc>
          <w:tcPr>
            <w:tcW w:w="2594" w:type="pct"/>
            <w:vAlign w:val="center"/>
          </w:tcPr>
          <w:p>
            <w:pPr>
              <w:widowControl/>
              <w:spacing w:line="500" w:lineRule="exact"/>
              <w:ind w:firstLine="0" w:firstLineChars="0"/>
              <w:jc w:val="left"/>
              <w:rPr>
                <w:color w:val="000000"/>
                <w:kern w:val="0"/>
                <w:sz w:val="28"/>
                <w:szCs w:val="28"/>
              </w:rPr>
            </w:pPr>
            <w:r>
              <w:rPr>
                <w:rFonts w:hint="eastAsia"/>
                <w:color w:val="000000"/>
                <w:kern w:val="0"/>
                <w:sz w:val="28"/>
                <w:szCs w:val="28"/>
              </w:rPr>
              <w:t>现代建筑产业园</w:t>
            </w:r>
          </w:p>
        </w:tc>
        <w:tc>
          <w:tcPr>
            <w:tcW w:w="1355" w:type="pct"/>
            <w:vAlign w:val="center"/>
          </w:tcPr>
          <w:p>
            <w:pPr>
              <w:widowControl/>
              <w:spacing w:line="600" w:lineRule="exact"/>
              <w:ind w:firstLine="0" w:firstLineChars="0"/>
              <w:jc w:val="center"/>
              <w:rPr>
                <w:rFonts w:hint="eastAsia" w:eastAsia="方正仿宋_GBK"/>
                <w:kern w:val="0"/>
                <w:sz w:val="28"/>
                <w:szCs w:val="28"/>
                <w:lang w:eastAsia="zh-CN"/>
              </w:rPr>
            </w:pPr>
            <w:r>
              <w:rPr>
                <w:rFonts w:hint="eastAsia"/>
                <w:kern w:val="0"/>
                <w:sz w:val="28"/>
                <w:szCs w:val="28"/>
                <w:lang w:val="en-US" w:eastAsia="zh-CN"/>
              </w:rPr>
              <w:t>17</w:t>
            </w:r>
            <w:r>
              <w:rPr>
                <w:rFonts w:hint="eastAsia"/>
                <w:kern w:val="0"/>
                <w:sz w:val="28"/>
                <w:szCs w:val="28"/>
              </w:rPr>
              <w:t>个</w:t>
            </w:r>
            <w:r>
              <w:rPr>
                <w:rFonts w:hint="eastAsia"/>
                <w:kern w:val="0"/>
                <w:sz w:val="28"/>
                <w:szCs w:val="28"/>
                <w:lang w:eastAsia="zh-CN"/>
              </w:rPr>
              <w:t>以上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556" w:type="pct"/>
            <w:vAlign w:val="center"/>
          </w:tcPr>
          <w:p>
            <w:pPr>
              <w:widowControl/>
              <w:spacing w:line="500" w:lineRule="exact"/>
              <w:ind w:firstLine="0" w:firstLineChars="0"/>
              <w:jc w:val="center"/>
              <w:rPr>
                <w:rFonts w:hint="eastAsia" w:eastAsia="方正仿宋_GBK"/>
                <w:color w:val="000000"/>
                <w:kern w:val="0"/>
                <w:sz w:val="28"/>
                <w:szCs w:val="28"/>
                <w:lang w:eastAsia="zh-CN"/>
              </w:rPr>
            </w:pPr>
            <w:r>
              <w:rPr>
                <w:rFonts w:hint="eastAsia"/>
                <w:color w:val="000000"/>
                <w:kern w:val="0"/>
                <w:sz w:val="28"/>
                <w:szCs w:val="28"/>
              </w:rPr>
              <w:t>1</w:t>
            </w:r>
            <w:r>
              <w:rPr>
                <w:rFonts w:hint="eastAsia"/>
                <w:color w:val="000000"/>
                <w:kern w:val="0"/>
                <w:sz w:val="28"/>
                <w:szCs w:val="28"/>
                <w:lang w:val="en-US" w:eastAsia="zh-CN"/>
              </w:rPr>
              <w:t>4</w:t>
            </w:r>
          </w:p>
        </w:tc>
        <w:tc>
          <w:tcPr>
            <w:tcW w:w="493" w:type="pct"/>
            <w:vMerge w:val="continue"/>
            <w:vAlign w:val="center"/>
          </w:tcPr>
          <w:p>
            <w:pPr>
              <w:widowControl/>
              <w:spacing w:line="500" w:lineRule="exact"/>
              <w:ind w:firstLine="0" w:firstLineChars="0"/>
              <w:jc w:val="left"/>
              <w:rPr>
                <w:color w:val="000000"/>
                <w:kern w:val="0"/>
                <w:sz w:val="28"/>
                <w:szCs w:val="28"/>
              </w:rPr>
            </w:pPr>
          </w:p>
        </w:tc>
        <w:tc>
          <w:tcPr>
            <w:tcW w:w="2594" w:type="pct"/>
            <w:vAlign w:val="center"/>
          </w:tcPr>
          <w:p>
            <w:pPr>
              <w:widowControl/>
              <w:spacing w:line="500" w:lineRule="exact"/>
              <w:ind w:firstLine="0" w:firstLineChars="0"/>
              <w:jc w:val="left"/>
              <w:rPr>
                <w:color w:val="000000"/>
                <w:kern w:val="0"/>
                <w:sz w:val="28"/>
                <w:szCs w:val="28"/>
              </w:rPr>
            </w:pPr>
            <w:r>
              <w:rPr>
                <w:rFonts w:hint="eastAsia"/>
                <w:color w:val="000000"/>
                <w:kern w:val="0"/>
                <w:sz w:val="28"/>
                <w:szCs w:val="28"/>
              </w:rPr>
              <w:t>智慧工地覆盖率</w:t>
            </w:r>
          </w:p>
        </w:tc>
        <w:tc>
          <w:tcPr>
            <w:tcW w:w="1355" w:type="pct"/>
            <w:vAlign w:val="center"/>
          </w:tcPr>
          <w:p>
            <w:pPr>
              <w:widowControl/>
              <w:spacing w:line="600" w:lineRule="exact"/>
              <w:ind w:firstLine="0" w:firstLineChars="0"/>
              <w:jc w:val="center"/>
              <w:rPr>
                <w:kern w:val="0"/>
                <w:sz w:val="28"/>
                <w:szCs w:val="28"/>
                <w:highlight w:val="yellow"/>
              </w:rPr>
            </w:pPr>
            <w:r>
              <w:rPr>
                <w:rFonts w:hint="eastAsia"/>
                <w:kern w:val="0"/>
                <w:sz w:val="28"/>
                <w:szCs w:val="28"/>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556" w:type="pct"/>
            <w:vAlign w:val="center"/>
          </w:tcPr>
          <w:p>
            <w:pPr>
              <w:widowControl/>
              <w:spacing w:line="500" w:lineRule="exact"/>
              <w:ind w:firstLine="0" w:firstLineChars="0"/>
              <w:jc w:val="center"/>
              <w:rPr>
                <w:rFonts w:hint="eastAsia" w:eastAsia="方正仿宋_GBK"/>
                <w:color w:val="000000"/>
                <w:kern w:val="0"/>
                <w:sz w:val="28"/>
                <w:szCs w:val="28"/>
                <w:lang w:eastAsia="zh-CN"/>
              </w:rPr>
            </w:pPr>
            <w:r>
              <w:rPr>
                <w:rFonts w:hint="eastAsia"/>
                <w:color w:val="000000"/>
                <w:kern w:val="0"/>
                <w:sz w:val="28"/>
                <w:szCs w:val="28"/>
              </w:rPr>
              <w:t>1</w:t>
            </w:r>
            <w:r>
              <w:rPr>
                <w:rFonts w:hint="eastAsia"/>
                <w:color w:val="000000"/>
                <w:kern w:val="0"/>
                <w:sz w:val="28"/>
                <w:szCs w:val="28"/>
                <w:lang w:val="en-US" w:eastAsia="zh-CN"/>
              </w:rPr>
              <w:t>5</w:t>
            </w:r>
          </w:p>
        </w:tc>
        <w:tc>
          <w:tcPr>
            <w:tcW w:w="493" w:type="pct"/>
            <w:vMerge w:val="continue"/>
            <w:vAlign w:val="center"/>
          </w:tcPr>
          <w:p>
            <w:pPr>
              <w:widowControl/>
              <w:spacing w:line="500" w:lineRule="exact"/>
              <w:ind w:firstLine="0" w:firstLineChars="0"/>
              <w:jc w:val="left"/>
              <w:rPr>
                <w:color w:val="000000"/>
                <w:kern w:val="0"/>
                <w:sz w:val="28"/>
                <w:szCs w:val="28"/>
              </w:rPr>
            </w:pPr>
          </w:p>
        </w:tc>
        <w:tc>
          <w:tcPr>
            <w:tcW w:w="2594" w:type="pct"/>
            <w:vAlign w:val="center"/>
          </w:tcPr>
          <w:p>
            <w:pPr>
              <w:widowControl/>
              <w:spacing w:line="500" w:lineRule="exact"/>
              <w:ind w:firstLine="0" w:firstLineChars="0"/>
              <w:jc w:val="left"/>
              <w:rPr>
                <w:color w:val="000000"/>
                <w:kern w:val="0"/>
                <w:sz w:val="28"/>
                <w:szCs w:val="28"/>
              </w:rPr>
            </w:pPr>
            <w:r>
              <w:rPr>
                <w:rFonts w:hint="eastAsia"/>
                <w:color w:val="000000"/>
                <w:kern w:val="0"/>
                <w:sz w:val="28"/>
                <w:szCs w:val="28"/>
              </w:rPr>
              <w:t>智能建造</w:t>
            </w:r>
            <w:r>
              <w:rPr>
                <w:rFonts w:hint="eastAsia"/>
                <w:color w:val="000000"/>
                <w:kern w:val="0"/>
                <w:sz w:val="28"/>
                <w:szCs w:val="28"/>
                <w:lang w:eastAsia="zh-CN"/>
              </w:rPr>
              <w:t>领域</w:t>
            </w:r>
            <w:r>
              <w:rPr>
                <w:rFonts w:hint="eastAsia"/>
                <w:color w:val="000000"/>
                <w:kern w:val="0"/>
                <w:sz w:val="28"/>
                <w:szCs w:val="28"/>
              </w:rPr>
              <w:t>重点实验室</w:t>
            </w:r>
          </w:p>
        </w:tc>
        <w:tc>
          <w:tcPr>
            <w:tcW w:w="1355" w:type="pct"/>
            <w:vAlign w:val="center"/>
          </w:tcPr>
          <w:p>
            <w:pPr>
              <w:widowControl/>
              <w:spacing w:line="600" w:lineRule="exact"/>
              <w:ind w:firstLine="0" w:firstLineChars="0"/>
              <w:jc w:val="center"/>
              <w:rPr>
                <w:kern w:val="0"/>
                <w:sz w:val="28"/>
                <w:szCs w:val="28"/>
              </w:rPr>
            </w:pPr>
            <w:r>
              <w:rPr>
                <w:rFonts w:hint="eastAsia"/>
                <w:kern w:val="0"/>
                <w:sz w:val="28"/>
                <w:szCs w:val="28"/>
              </w:rPr>
              <w:t>1个以上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556" w:type="pct"/>
            <w:vAlign w:val="center"/>
          </w:tcPr>
          <w:p>
            <w:pPr>
              <w:widowControl/>
              <w:spacing w:line="500" w:lineRule="exact"/>
              <w:ind w:firstLine="0" w:firstLineChars="0"/>
              <w:jc w:val="center"/>
              <w:rPr>
                <w:rFonts w:hint="eastAsia" w:eastAsia="方正仿宋_GBK"/>
                <w:color w:val="000000"/>
                <w:kern w:val="0"/>
                <w:sz w:val="28"/>
                <w:szCs w:val="28"/>
                <w:lang w:eastAsia="zh-CN"/>
              </w:rPr>
            </w:pPr>
            <w:r>
              <w:rPr>
                <w:rFonts w:hint="eastAsia"/>
                <w:color w:val="000000"/>
                <w:kern w:val="0"/>
                <w:sz w:val="28"/>
                <w:szCs w:val="28"/>
              </w:rPr>
              <w:t>1</w:t>
            </w:r>
            <w:r>
              <w:rPr>
                <w:rFonts w:hint="eastAsia"/>
                <w:color w:val="000000"/>
                <w:kern w:val="0"/>
                <w:sz w:val="28"/>
                <w:szCs w:val="28"/>
                <w:lang w:val="en-US" w:eastAsia="zh-CN"/>
              </w:rPr>
              <w:t>6</w:t>
            </w:r>
          </w:p>
        </w:tc>
        <w:tc>
          <w:tcPr>
            <w:tcW w:w="493" w:type="pct"/>
            <w:vMerge w:val="continue"/>
            <w:vAlign w:val="center"/>
          </w:tcPr>
          <w:p>
            <w:pPr>
              <w:widowControl/>
              <w:spacing w:line="500" w:lineRule="exact"/>
              <w:ind w:firstLine="0" w:firstLineChars="0"/>
              <w:jc w:val="left"/>
              <w:rPr>
                <w:color w:val="000000"/>
                <w:kern w:val="0"/>
                <w:sz w:val="28"/>
                <w:szCs w:val="28"/>
              </w:rPr>
            </w:pPr>
          </w:p>
        </w:tc>
        <w:tc>
          <w:tcPr>
            <w:tcW w:w="2594" w:type="pct"/>
            <w:vAlign w:val="center"/>
          </w:tcPr>
          <w:p>
            <w:pPr>
              <w:widowControl/>
              <w:spacing w:line="500" w:lineRule="exact"/>
              <w:ind w:firstLine="0" w:firstLineChars="0"/>
              <w:jc w:val="left"/>
              <w:rPr>
                <w:color w:val="000000"/>
                <w:kern w:val="0"/>
                <w:sz w:val="28"/>
                <w:szCs w:val="28"/>
              </w:rPr>
            </w:pPr>
            <w:r>
              <w:rPr>
                <w:rFonts w:hint="eastAsia"/>
                <w:color w:val="000000"/>
                <w:kern w:val="0"/>
                <w:sz w:val="28"/>
                <w:szCs w:val="28"/>
              </w:rPr>
              <w:t>建筑产业互联网平台</w:t>
            </w:r>
          </w:p>
        </w:tc>
        <w:tc>
          <w:tcPr>
            <w:tcW w:w="1355" w:type="pct"/>
            <w:vAlign w:val="center"/>
          </w:tcPr>
          <w:p>
            <w:pPr>
              <w:widowControl/>
              <w:spacing w:line="600" w:lineRule="exact"/>
              <w:ind w:firstLine="0" w:firstLineChars="0"/>
              <w:jc w:val="center"/>
              <w:rPr>
                <w:kern w:val="0"/>
                <w:sz w:val="28"/>
                <w:szCs w:val="28"/>
              </w:rPr>
            </w:pPr>
            <w:r>
              <w:rPr>
                <w:rFonts w:hint="eastAsia"/>
                <w:kern w:val="0"/>
                <w:sz w:val="28"/>
                <w:szCs w:val="28"/>
              </w:rPr>
              <w:t>3个以上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556" w:type="pct"/>
            <w:vAlign w:val="center"/>
          </w:tcPr>
          <w:p>
            <w:pPr>
              <w:widowControl/>
              <w:spacing w:line="500" w:lineRule="exact"/>
              <w:ind w:firstLine="0" w:firstLineChars="0"/>
              <w:jc w:val="center"/>
              <w:rPr>
                <w:rFonts w:hint="eastAsia" w:eastAsia="方正仿宋_GBK"/>
                <w:color w:val="000000"/>
                <w:kern w:val="0"/>
                <w:sz w:val="28"/>
                <w:szCs w:val="28"/>
                <w:lang w:eastAsia="zh-CN"/>
              </w:rPr>
            </w:pPr>
            <w:r>
              <w:rPr>
                <w:rFonts w:hint="eastAsia"/>
                <w:color w:val="000000"/>
                <w:kern w:val="0"/>
                <w:sz w:val="28"/>
                <w:szCs w:val="28"/>
              </w:rPr>
              <w:t>1</w:t>
            </w:r>
            <w:r>
              <w:rPr>
                <w:rFonts w:hint="eastAsia"/>
                <w:color w:val="000000"/>
                <w:kern w:val="0"/>
                <w:sz w:val="28"/>
                <w:szCs w:val="28"/>
                <w:lang w:val="en-US" w:eastAsia="zh-CN"/>
              </w:rPr>
              <w:t>7</w:t>
            </w:r>
          </w:p>
        </w:tc>
        <w:tc>
          <w:tcPr>
            <w:tcW w:w="493" w:type="pct"/>
            <w:vMerge w:val="restart"/>
            <w:vAlign w:val="center"/>
          </w:tcPr>
          <w:p>
            <w:pPr>
              <w:spacing w:line="500" w:lineRule="exact"/>
              <w:ind w:firstLine="0" w:firstLineChars="0"/>
              <w:jc w:val="center"/>
              <w:rPr>
                <w:color w:val="000000"/>
                <w:kern w:val="0"/>
                <w:sz w:val="28"/>
                <w:szCs w:val="28"/>
              </w:rPr>
            </w:pPr>
            <w:r>
              <w:rPr>
                <w:color w:val="000000"/>
                <w:kern w:val="0"/>
                <w:sz w:val="28"/>
                <w:szCs w:val="28"/>
              </w:rPr>
              <w:t>人才队伍</w:t>
            </w:r>
          </w:p>
        </w:tc>
        <w:tc>
          <w:tcPr>
            <w:tcW w:w="2594" w:type="pct"/>
            <w:vAlign w:val="center"/>
          </w:tcPr>
          <w:p>
            <w:pPr>
              <w:widowControl/>
              <w:spacing w:line="500" w:lineRule="exact"/>
              <w:ind w:firstLine="0" w:firstLineChars="0"/>
              <w:jc w:val="left"/>
              <w:rPr>
                <w:color w:val="000000"/>
                <w:kern w:val="0"/>
                <w:sz w:val="28"/>
                <w:szCs w:val="28"/>
              </w:rPr>
            </w:pPr>
            <w:r>
              <w:rPr>
                <w:rFonts w:hint="eastAsia"/>
                <w:color w:val="000000"/>
                <w:kern w:val="0"/>
                <w:sz w:val="28"/>
                <w:szCs w:val="28"/>
              </w:rPr>
              <w:t>专业技术人才及技能人才</w:t>
            </w:r>
          </w:p>
        </w:tc>
        <w:tc>
          <w:tcPr>
            <w:tcW w:w="1355" w:type="pct"/>
            <w:vAlign w:val="center"/>
          </w:tcPr>
          <w:p>
            <w:pPr>
              <w:widowControl/>
              <w:spacing w:line="600" w:lineRule="exact"/>
              <w:ind w:firstLine="0" w:firstLineChars="0"/>
              <w:jc w:val="center"/>
              <w:rPr>
                <w:color w:val="000000"/>
                <w:kern w:val="0"/>
                <w:sz w:val="28"/>
                <w:szCs w:val="28"/>
                <w:highlight w:val="yellow"/>
              </w:rPr>
            </w:pPr>
            <w:r>
              <w:rPr>
                <w:rFonts w:hint="eastAsia"/>
                <w:color w:val="000000"/>
                <w:kern w:val="0"/>
                <w:sz w:val="28"/>
                <w:szCs w:val="28"/>
              </w:rPr>
              <w:t>60000人以上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556" w:type="pct"/>
            <w:vAlign w:val="center"/>
          </w:tcPr>
          <w:p>
            <w:pPr>
              <w:widowControl/>
              <w:spacing w:line="500" w:lineRule="exact"/>
              <w:ind w:firstLine="0" w:firstLineChars="0"/>
              <w:jc w:val="center"/>
              <w:rPr>
                <w:rFonts w:hint="default" w:eastAsia="方正仿宋_GBK"/>
                <w:color w:val="000000"/>
                <w:kern w:val="0"/>
                <w:sz w:val="28"/>
                <w:szCs w:val="28"/>
                <w:lang w:val="en-US" w:eastAsia="zh-CN"/>
              </w:rPr>
            </w:pPr>
            <w:r>
              <w:rPr>
                <w:rFonts w:hint="eastAsia"/>
                <w:color w:val="000000"/>
                <w:kern w:val="0"/>
                <w:sz w:val="28"/>
                <w:szCs w:val="28"/>
                <w:lang w:val="en-US" w:eastAsia="zh-CN"/>
              </w:rPr>
              <w:t>18</w:t>
            </w:r>
          </w:p>
        </w:tc>
        <w:tc>
          <w:tcPr>
            <w:tcW w:w="493" w:type="pct"/>
            <w:vMerge w:val="continue"/>
            <w:vAlign w:val="center"/>
          </w:tcPr>
          <w:p>
            <w:pPr>
              <w:spacing w:line="500" w:lineRule="exact"/>
              <w:ind w:firstLine="0" w:firstLineChars="0"/>
              <w:jc w:val="center"/>
              <w:rPr>
                <w:color w:val="000000"/>
                <w:kern w:val="0"/>
                <w:sz w:val="28"/>
                <w:szCs w:val="28"/>
              </w:rPr>
            </w:pPr>
          </w:p>
        </w:tc>
        <w:tc>
          <w:tcPr>
            <w:tcW w:w="2594" w:type="pct"/>
            <w:vAlign w:val="center"/>
          </w:tcPr>
          <w:p>
            <w:pPr>
              <w:widowControl/>
              <w:spacing w:line="500" w:lineRule="exact"/>
              <w:ind w:firstLine="0" w:firstLineChars="0"/>
              <w:jc w:val="left"/>
              <w:rPr>
                <w:color w:val="000000"/>
                <w:kern w:val="0"/>
                <w:sz w:val="28"/>
                <w:szCs w:val="28"/>
              </w:rPr>
            </w:pPr>
            <w:r>
              <w:rPr>
                <w:rFonts w:hint="eastAsia"/>
                <w:color w:val="000000"/>
                <w:kern w:val="0"/>
                <w:sz w:val="28"/>
                <w:szCs w:val="28"/>
              </w:rPr>
              <w:t>在培技能人才中，中级技能以上人员占比</w:t>
            </w:r>
          </w:p>
        </w:tc>
        <w:tc>
          <w:tcPr>
            <w:tcW w:w="1355" w:type="pct"/>
            <w:vAlign w:val="center"/>
          </w:tcPr>
          <w:p>
            <w:pPr>
              <w:widowControl/>
              <w:spacing w:line="600" w:lineRule="exact"/>
              <w:ind w:firstLine="0" w:firstLineChars="0"/>
              <w:jc w:val="center"/>
              <w:rPr>
                <w:color w:val="000000"/>
                <w:kern w:val="0"/>
                <w:sz w:val="28"/>
                <w:szCs w:val="28"/>
                <w:highlight w:val="yellow"/>
              </w:rPr>
            </w:pPr>
            <w:r>
              <w:rPr>
                <w:color w:val="000000"/>
                <w:kern w:val="0"/>
                <w:sz w:val="28"/>
                <w:szCs w:val="28"/>
              </w:rPr>
              <w:t>80</w:t>
            </w:r>
            <w:r>
              <w:rPr>
                <w:rFonts w:hint="eastAsia"/>
                <w:color w:val="000000"/>
                <w:kern w:val="0"/>
                <w:sz w:val="28"/>
                <w:szCs w:val="28"/>
              </w:rPr>
              <w:t>%以上</w:t>
            </w:r>
          </w:p>
        </w:tc>
      </w:tr>
    </w:tbl>
    <w:p>
      <w:pPr>
        <w:pStyle w:val="2"/>
        <w:ind w:firstLine="640"/>
        <w:rPr>
          <w:color w:val="000000" w:themeColor="text1"/>
          <w:szCs w:val="32"/>
          <w14:textFill>
            <w14:solidFill>
              <w14:schemeClr w14:val="tx1"/>
            </w14:solidFill>
          </w14:textFill>
        </w:rPr>
      </w:pPr>
      <w:bookmarkStart w:id="128" w:name="_Toc29325"/>
      <w:bookmarkStart w:id="129" w:name="_Toc10304"/>
      <w:bookmarkStart w:id="130" w:name="_Toc65746613"/>
      <w:bookmarkStart w:id="131" w:name="_Toc66457134"/>
      <w:bookmarkStart w:id="132" w:name="_Toc7345"/>
      <w:bookmarkStart w:id="133" w:name="_Toc91149495"/>
      <w:r>
        <w:rPr>
          <w:rFonts w:hint="eastAsia"/>
          <w:color w:val="000000" w:themeColor="text1"/>
          <w:szCs w:val="32"/>
          <w14:textFill>
            <w14:solidFill>
              <w14:schemeClr w14:val="tx1"/>
            </w14:solidFill>
          </w14:textFill>
        </w:rPr>
        <w:t>四、“十四五”主要任务</w:t>
      </w:r>
      <w:bookmarkEnd w:id="128"/>
      <w:bookmarkEnd w:id="129"/>
      <w:bookmarkEnd w:id="130"/>
      <w:bookmarkEnd w:id="131"/>
      <w:bookmarkEnd w:id="132"/>
      <w:bookmarkEnd w:id="133"/>
    </w:p>
    <w:p>
      <w:pPr>
        <w:pStyle w:val="3"/>
        <w:ind w:firstLine="643"/>
        <w:rPr>
          <w:color w:val="000000" w:themeColor="text1"/>
          <w14:textFill>
            <w14:solidFill>
              <w14:schemeClr w14:val="tx1"/>
            </w14:solidFill>
          </w14:textFill>
        </w:rPr>
      </w:pPr>
      <w:bookmarkStart w:id="134" w:name="_Toc2422"/>
      <w:bookmarkStart w:id="135" w:name="_Toc24118"/>
      <w:bookmarkStart w:id="136" w:name="_Toc66457135"/>
      <w:bookmarkStart w:id="137" w:name="_Toc8274"/>
      <w:bookmarkStart w:id="138" w:name="_Toc65746614"/>
      <w:bookmarkStart w:id="139" w:name="_Toc91149496"/>
      <w:r>
        <w:rPr>
          <w:rFonts w:hint="eastAsia"/>
          <w:color w:val="000000" w:themeColor="text1"/>
          <w14:textFill>
            <w14:solidFill>
              <w14:schemeClr w14:val="tx1"/>
            </w14:solidFill>
          </w14:textFill>
        </w:rPr>
        <w:t>（一）培育龙头骨干企业，</w:t>
      </w:r>
      <w:bookmarkEnd w:id="134"/>
      <w:bookmarkEnd w:id="135"/>
      <w:bookmarkEnd w:id="136"/>
      <w:bookmarkEnd w:id="137"/>
      <w:bookmarkEnd w:id="138"/>
      <w:r>
        <w:rPr>
          <w:rFonts w:hint="eastAsia"/>
          <w:color w:val="000000" w:themeColor="text1"/>
          <w14:textFill>
            <w14:solidFill>
              <w14:schemeClr w14:val="tx1"/>
            </w14:solidFill>
          </w14:textFill>
        </w:rPr>
        <w:t>积聚内生发展新动能</w:t>
      </w:r>
      <w:bookmarkEnd w:id="139"/>
    </w:p>
    <w:p>
      <w:pPr>
        <w:pStyle w:val="4"/>
        <w:ind w:firstLine="643"/>
      </w:pPr>
      <w:bookmarkStart w:id="140" w:name="_Toc66457136"/>
      <w:bookmarkStart w:id="141" w:name="_Toc91149497"/>
      <w:r>
        <w:t>1</w:t>
      </w:r>
      <w:r>
        <w:rPr>
          <w:rFonts w:hint="eastAsia"/>
        </w:rPr>
        <w:t>．</w:t>
      </w:r>
      <w:bookmarkEnd w:id="140"/>
      <w:r>
        <w:rPr>
          <w:rFonts w:hint="eastAsia"/>
        </w:rPr>
        <w:t>引育并重提升企业竞争力</w:t>
      </w:r>
      <w:bookmarkEnd w:id="141"/>
    </w:p>
    <w:p>
      <w:pPr>
        <w:ind w:firstLine="640"/>
        <w:rPr>
          <w:szCs w:val="32"/>
        </w:rPr>
      </w:pPr>
      <w:r>
        <w:rPr>
          <w:rFonts w:hint="eastAsia"/>
          <w:szCs w:val="32"/>
        </w:rPr>
        <w:t>以扶持企业资质升级为抓手，提升企业竞争力。鼓励各区县出台用地指标、用地价格、税收等方面支持政策，引进总部基地或特级企业全资子公司落户辖区；激励外地优质企业中标我市项目后，在渝设立具有独立法人资格的企业。培育壮大具有“投融建管营”一体化能力的本地龙头骨干企业，支持龙头骨干建筑企业向轨道交通、机场、铁路、桥梁、隧道等基础设施领域延伸，试点开展我市龙头骨干建筑企业与外地建筑企业联合建设。</w:t>
      </w:r>
    </w:p>
    <w:p>
      <w:pPr>
        <w:pStyle w:val="4"/>
        <w:ind w:firstLine="643"/>
      </w:pPr>
      <w:bookmarkStart w:id="142" w:name="_Toc66457137"/>
      <w:bookmarkStart w:id="143" w:name="_Toc91149498"/>
      <w:r>
        <w:rPr>
          <w:rFonts w:hint="eastAsia"/>
        </w:rPr>
        <w:t>2．</w:t>
      </w:r>
      <w:bookmarkEnd w:id="142"/>
      <w:r>
        <w:rPr>
          <w:rFonts w:hint="eastAsia"/>
        </w:rPr>
        <w:t>帮扶企业资质升级</w:t>
      </w:r>
      <w:bookmarkEnd w:id="143"/>
    </w:p>
    <w:p>
      <w:pPr>
        <w:ind w:firstLine="640"/>
        <w:rPr>
          <w:rFonts w:ascii="方正仿宋_GBK"/>
          <w:szCs w:val="32"/>
        </w:rPr>
      </w:pPr>
      <w:r>
        <w:rPr>
          <w:rFonts w:hint="eastAsia" w:ascii="方正仿宋_GBK"/>
          <w:szCs w:val="32"/>
        </w:rPr>
        <w:t>积极出台政策，支持特级资质企业全资子公司、诚信前百总承包企业、装配式企业、科创型企业直接匹配相关二级总承包或二级专业承包资质。支持具有工程设计综合资质、行业甲级资质、建筑工程专业甲级资质的企业，直接申请相应的施工总承包一级资质和工程监理专业甲级资质。支持具有施工总承包一级资质的企业，直接申请同类别或相近类别的工程设计甲级资质和工程监理专业甲级资质。</w:t>
      </w:r>
    </w:p>
    <w:p>
      <w:pPr>
        <w:pStyle w:val="3"/>
        <w:ind w:firstLine="643"/>
        <w:rPr>
          <w:color w:val="000000" w:themeColor="text1"/>
          <w14:textFill>
            <w14:solidFill>
              <w14:schemeClr w14:val="tx1"/>
            </w14:solidFill>
          </w14:textFill>
        </w:rPr>
      </w:pPr>
      <w:bookmarkStart w:id="144" w:name="_Toc3055"/>
      <w:bookmarkStart w:id="145" w:name="_Toc65746615"/>
      <w:bookmarkStart w:id="146" w:name="_Toc31325"/>
      <w:bookmarkStart w:id="147" w:name="_Toc66457138"/>
      <w:bookmarkStart w:id="148" w:name="_Toc16711"/>
      <w:bookmarkStart w:id="149" w:name="_Toc91149499"/>
      <w:r>
        <w:rPr>
          <w:rFonts w:hint="eastAsia"/>
          <w:color w:val="000000" w:themeColor="text1"/>
          <w14:textFill>
            <w14:solidFill>
              <w14:schemeClr w14:val="tx1"/>
            </w14:solidFill>
          </w14:textFill>
        </w:rPr>
        <w:t>（二）改进生产组织方式，</w:t>
      </w:r>
      <w:bookmarkEnd w:id="144"/>
      <w:bookmarkEnd w:id="145"/>
      <w:bookmarkEnd w:id="146"/>
      <w:bookmarkEnd w:id="147"/>
      <w:bookmarkEnd w:id="148"/>
      <w:r>
        <w:rPr>
          <w:rFonts w:hint="eastAsia"/>
          <w:color w:val="000000" w:themeColor="text1"/>
          <w14:textFill>
            <w14:solidFill>
              <w14:schemeClr w14:val="tx1"/>
            </w14:solidFill>
          </w14:textFill>
        </w:rPr>
        <w:t>开创融合发展新格局</w:t>
      </w:r>
      <w:bookmarkEnd w:id="149"/>
    </w:p>
    <w:p>
      <w:pPr>
        <w:pStyle w:val="4"/>
        <w:ind w:firstLine="643"/>
      </w:pPr>
      <w:bookmarkStart w:id="150" w:name="_Toc91149500"/>
      <w:bookmarkStart w:id="151" w:name="_Toc66457139"/>
      <w:r>
        <w:rPr>
          <w:rFonts w:hint="eastAsia"/>
        </w:rPr>
        <w:t>1．推进工程总承包模式</w:t>
      </w:r>
      <w:bookmarkEnd w:id="150"/>
      <w:bookmarkEnd w:id="151"/>
    </w:p>
    <w:p>
      <w:pPr>
        <w:ind w:firstLine="640"/>
        <w:rPr>
          <w:rFonts w:cstheme="minorBidi"/>
          <w:color w:val="000000" w:themeColor="text1"/>
          <w:szCs w:val="32"/>
          <w14:textFill>
            <w14:solidFill>
              <w14:schemeClr w14:val="tx1"/>
            </w14:solidFill>
          </w14:textFill>
        </w:rPr>
      </w:pPr>
      <w:r>
        <w:rPr>
          <w:rFonts w:hint="eastAsia" w:cstheme="minorBidi"/>
          <w:color w:val="000000" w:themeColor="text1"/>
          <w:szCs w:val="32"/>
          <w14:textFill>
            <w14:solidFill>
              <w14:schemeClr w14:val="tx1"/>
            </w14:solidFill>
          </w14:textFill>
        </w:rPr>
        <w:t>引导建设单位积极采用工程总承包模式，促使企业发挥在资本运营、建筑设计、物资采购、技术应用、施工管理等一体化方面的资源配置作用，提升全过程综合承包能力，提高核心竞争力。加快推进工程总承包项目实施，政府投资项目、装配式建筑和采用PPP模式实施的工程项目原则上应采用工程总承包模式。完善适应工程总承包发展的工程计价和工程管理等配套制度。</w:t>
      </w:r>
    </w:p>
    <w:p>
      <w:pPr>
        <w:pStyle w:val="4"/>
        <w:ind w:firstLine="643"/>
      </w:pPr>
      <w:bookmarkStart w:id="152" w:name="_Toc66457140"/>
      <w:bookmarkStart w:id="153" w:name="_Toc91149501"/>
      <w:r>
        <w:rPr>
          <w:rFonts w:hint="eastAsia"/>
        </w:rPr>
        <w:t>2．发展全过程咨询服务</w:t>
      </w:r>
      <w:bookmarkEnd w:id="152"/>
      <w:bookmarkEnd w:id="153"/>
    </w:p>
    <w:p>
      <w:pPr>
        <w:ind w:firstLine="640"/>
        <w:rPr>
          <w:rFonts w:cstheme="minorBidi"/>
          <w:color w:val="000000" w:themeColor="text1"/>
          <w:szCs w:val="32"/>
          <w14:textFill>
            <w14:solidFill>
              <w14:schemeClr w14:val="tx1"/>
            </w14:solidFill>
          </w14:textFill>
        </w:rPr>
      </w:pPr>
      <w:r>
        <w:rPr>
          <w:rFonts w:hint="eastAsia" w:cstheme="minorBidi"/>
          <w:color w:val="000000" w:themeColor="text1"/>
          <w:szCs w:val="32"/>
          <w14:textFill>
            <w14:solidFill>
              <w14:schemeClr w14:val="tx1"/>
            </w14:solidFill>
          </w14:textFill>
        </w:rPr>
        <w:t>促进工程咨询行业的业务融合，构建科学合理的管理协调机制，推进项目管理服务集成化发展，提高服务质量。支持设计、监理、造价、招标代理、项目管理、投资决策等企业采取联合经营、并购重组等方式发展全过程工程咨询业务。充分发挥政府投资项目和国有企业投资项目的示范引领作用，鼓励民间投资项目的建设单位根据项目规模和特点需要，依法选择实施工程建设全过程工程咨询模式。</w:t>
      </w:r>
      <w:bookmarkStart w:id="154" w:name="_Toc10661"/>
      <w:bookmarkStart w:id="155" w:name="_Toc23722"/>
      <w:bookmarkStart w:id="156" w:name="_Toc65746616"/>
      <w:bookmarkStart w:id="157" w:name="_Toc30291"/>
    </w:p>
    <w:p>
      <w:pPr>
        <w:pStyle w:val="3"/>
        <w:ind w:firstLine="643"/>
        <w:rPr>
          <w:color w:val="000000" w:themeColor="text1"/>
          <w14:textFill>
            <w14:solidFill>
              <w14:schemeClr w14:val="tx1"/>
            </w14:solidFill>
          </w14:textFill>
        </w:rPr>
      </w:pPr>
      <w:bookmarkStart w:id="158" w:name="_Toc66457141"/>
      <w:bookmarkStart w:id="159" w:name="_Toc91149502"/>
      <w:r>
        <w:rPr>
          <w:rFonts w:hint="eastAsia"/>
          <w:color w:val="000000" w:themeColor="text1"/>
          <w14:textFill>
            <w14:solidFill>
              <w14:schemeClr w14:val="tx1"/>
            </w14:solidFill>
          </w14:textFill>
        </w:rPr>
        <w:t>（三）推进大数据智能化发展，</w:t>
      </w:r>
      <w:bookmarkEnd w:id="154"/>
      <w:bookmarkEnd w:id="155"/>
      <w:bookmarkEnd w:id="156"/>
      <w:bookmarkEnd w:id="157"/>
      <w:bookmarkEnd w:id="158"/>
      <w:r>
        <w:rPr>
          <w:rFonts w:hint="eastAsia"/>
          <w:color w:val="000000" w:themeColor="text1"/>
          <w14:textFill>
            <w14:solidFill>
              <w14:schemeClr w14:val="tx1"/>
            </w14:solidFill>
          </w14:textFill>
        </w:rPr>
        <w:t>加速建造科技创新</w:t>
      </w:r>
      <w:bookmarkEnd w:id="159"/>
    </w:p>
    <w:p>
      <w:pPr>
        <w:pStyle w:val="4"/>
        <w:ind w:firstLine="643"/>
      </w:pPr>
      <w:bookmarkStart w:id="160" w:name="_Toc91149503"/>
      <w:r>
        <w:rPr>
          <w:rFonts w:hint="eastAsia"/>
        </w:rPr>
        <w:t>1．加强科技创新体系建设</w:t>
      </w:r>
      <w:bookmarkEnd w:id="160"/>
    </w:p>
    <w:p>
      <w:pPr>
        <w:ind w:firstLine="640"/>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健全住建领域科技创新机制，强化企业在技术研发和成果转化等方面的主体地位，引导行业加大研发投入（R&amp;D），加强知识产权保护，科技研发资金向成绩突出的单位倾斜。优化科技资源配置，促进“政产学研”融合发展，鼓励行业联合承接国家重大研发课题，形成拥有自主知识产权的核心技术，建成一批新技术应用试点示范工程。构建先进适用的技术标准体系，重点制定绿色建造、工业建造、智能建造等地方标准，支持企业标准和团体标准协同发展，深入开展川渝标准跨区互认。</w:t>
      </w:r>
    </w:p>
    <w:p>
      <w:pPr>
        <w:pStyle w:val="4"/>
        <w:ind w:firstLine="643"/>
      </w:pPr>
      <w:bookmarkStart w:id="161" w:name="_Toc91149504"/>
      <w:r>
        <w:rPr>
          <w:rFonts w:hint="eastAsia"/>
        </w:rPr>
        <w:t>2．加快关键建造技术攻关</w:t>
      </w:r>
      <w:bookmarkEnd w:id="161"/>
    </w:p>
    <w:p>
      <w:pPr>
        <w:ind w:firstLine="640"/>
      </w:pPr>
      <w:bookmarkStart w:id="162" w:name="_Toc66457142"/>
      <w:bookmarkStart w:id="163" w:name="_Toc19308"/>
      <w:bookmarkStart w:id="164" w:name="_Toc65746617"/>
      <w:bookmarkStart w:id="165" w:name="_Toc623"/>
      <w:bookmarkStart w:id="166" w:name="_Toc24324"/>
      <w:r>
        <w:rPr>
          <w:rFonts w:hint="eastAsia"/>
        </w:rPr>
        <w:t>研究适宜重庆地区的绿色低碳建造技术体系与评价管理机制，开展碳排放核查核算、绿色施工、绿色低碳建材的创新研发。研究房屋建筑和市政工程工业化建造关键技术体系，开展标准化设计、装配化施工、工业化装修、智能化检测等技术研究。研究智能建造共性关键技术，实施BIM正向设计技术研究，建立BIM技术全过程应用的协同能力和数据传递模式，开展智能生产线、智能设备装备等技术研发。</w:t>
      </w:r>
    </w:p>
    <w:p>
      <w:pPr>
        <w:pStyle w:val="4"/>
        <w:ind w:firstLine="643"/>
      </w:pPr>
      <w:bookmarkStart w:id="167" w:name="_Toc91149505"/>
      <w:r>
        <w:rPr>
          <w:rFonts w:hint="eastAsia"/>
        </w:rPr>
        <w:t>3．搭建建造体系创新平台</w:t>
      </w:r>
      <w:bookmarkEnd w:id="167"/>
    </w:p>
    <w:p>
      <w:pPr>
        <w:ind w:firstLine="640"/>
      </w:pPr>
      <w:r>
        <w:rPr>
          <w:rFonts w:hint="eastAsia"/>
        </w:rPr>
        <w:t>支持重庆大学</w:t>
      </w:r>
      <w:r>
        <w:rPr>
          <w:rFonts w:hint="eastAsia"/>
          <w:lang w:eastAsia="zh-CN"/>
        </w:rPr>
        <w:t>、重庆交通大学</w:t>
      </w:r>
      <w:r>
        <w:rPr>
          <w:rFonts w:hint="eastAsia"/>
        </w:rPr>
        <w:t>等高等院校设置智能建造专业学科，打造智能建造领域重点实验室，推进质量检测系统、智能施工装备建筑机器人等研发应用，培育一批本土复合型技术人才。支持</w:t>
      </w:r>
      <w:r>
        <w:rPr>
          <w:rFonts w:hint="eastAsia"/>
          <w:lang w:eastAsia="zh-CN"/>
        </w:rPr>
        <w:t>高端</w:t>
      </w:r>
      <w:r>
        <w:rPr>
          <w:rFonts w:hint="eastAsia"/>
        </w:rPr>
        <w:t>互联网企业发展建筑产业互联网平台，开展工程建造云服务，实现建筑材料、工程软件等建筑产品的在线推荐和采购，带动行业企业“上云上平台”。支持科研院所创建技术创新中心、院士工作站、博士后工作站等创新平台，持续引进国内外优秀人才，孵化培育现代建筑头部企业。</w:t>
      </w:r>
    </w:p>
    <w:p>
      <w:pPr>
        <w:pStyle w:val="4"/>
        <w:ind w:firstLine="643"/>
      </w:pPr>
      <w:bookmarkStart w:id="168" w:name="_Toc91149506"/>
      <w:r>
        <w:rPr>
          <w:rFonts w:hint="eastAsia"/>
        </w:rPr>
        <w:t>4．强化大数据智能化赋能</w:t>
      </w:r>
      <w:bookmarkEnd w:id="168"/>
    </w:p>
    <w:p>
      <w:pPr>
        <w:ind w:firstLine="640"/>
      </w:pPr>
      <w:r>
        <w:rPr>
          <w:rFonts w:hint="eastAsia"/>
        </w:rPr>
        <w:t>加快推动新型城市基础设施建设，大力实施智能建造。推进城市信息模型（CIM）平台建设，建立BIM数据、物联网数据等基础数据汇集机制，拓展“CIM+”在城市基础设施、智能建造、智慧社区等领域的应用。推广BIM技术在设计、施工等环节的集成应用，打通工程建造全生命周期数据通道，推动基于BIM的图纸审查和工程交付。打造装配式建筑项目监管平台，建立生产、运输、施工等全程质量信息追溯制度，实现预制构件的信息共享。全面推动智慧工地建设，着力智能施工装备、建筑机器人等新技术的融合应用，在工程安全、工程进度、环境保护、工程质量等方面推广无人机、激光三维扫描、人工智能算法等智能化先进技术，提高工程建设机械化、智能化水平。</w:t>
      </w:r>
    </w:p>
    <w:p>
      <w:pPr>
        <w:pStyle w:val="3"/>
        <w:ind w:firstLine="643"/>
      </w:pPr>
      <w:bookmarkStart w:id="169" w:name="_Toc91149507"/>
      <w:r>
        <w:rPr>
          <w:rFonts w:hint="eastAsia"/>
        </w:rPr>
        <w:t>（四）全面发展装配式建筑，推动</w:t>
      </w:r>
      <w:bookmarkEnd w:id="162"/>
      <w:bookmarkEnd w:id="163"/>
      <w:bookmarkEnd w:id="164"/>
      <w:bookmarkEnd w:id="165"/>
      <w:bookmarkEnd w:id="166"/>
      <w:r>
        <w:rPr>
          <w:rFonts w:hint="eastAsia"/>
        </w:rPr>
        <w:t>新型建筑工业化</w:t>
      </w:r>
      <w:bookmarkEnd w:id="169"/>
    </w:p>
    <w:p>
      <w:pPr>
        <w:pStyle w:val="4"/>
        <w:ind w:firstLine="643"/>
      </w:pPr>
      <w:bookmarkStart w:id="170" w:name="_Toc66457143"/>
      <w:bookmarkStart w:id="171" w:name="_Toc91149508"/>
      <w:r>
        <w:rPr>
          <w:rFonts w:hint="eastAsia"/>
        </w:rPr>
        <w:t>1．完善装配式建筑产业链条</w:t>
      </w:r>
      <w:bookmarkEnd w:id="170"/>
      <w:bookmarkEnd w:id="171"/>
    </w:p>
    <w:p>
      <w:pPr>
        <w:ind w:firstLine="640"/>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加强对装配式建筑产业生产产能和市场需求的调研分析，科学布局产业基地、积极承接东部地区产业转移，全力构建名企汇集、上下贯通、集约集聚的装配式建筑全产业链，重点发展部品部件生产、智能化工程设备制造、机电管线集成、智能家居、工业化装修等产业，形成门类齐全、布局科学、供需平衡的产业链条。引导渝北、两江</w:t>
      </w:r>
      <w:r>
        <w:rPr>
          <w:rFonts w:hint="eastAsia"/>
          <w:color w:val="000000" w:themeColor="text1"/>
          <w:szCs w:val="32"/>
          <w:lang w:eastAsia="zh-CN"/>
          <w14:textFill>
            <w14:solidFill>
              <w14:schemeClr w14:val="tx1"/>
            </w14:solidFill>
          </w14:textFill>
        </w:rPr>
        <w:t>新区</w:t>
      </w:r>
      <w:r>
        <w:rPr>
          <w:rFonts w:hint="eastAsia"/>
          <w:color w:val="000000" w:themeColor="text1"/>
          <w:szCs w:val="32"/>
          <w14:textFill>
            <w14:solidFill>
              <w14:schemeClr w14:val="tx1"/>
            </w14:solidFill>
          </w14:textFill>
        </w:rPr>
        <w:t>、</w:t>
      </w:r>
      <w:r>
        <w:rPr>
          <w:rFonts w:hint="eastAsia"/>
          <w:color w:val="000000" w:themeColor="text1"/>
          <w:szCs w:val="32"/>
          <w:lang w:eastAsia="zh-CN"/>
          <w14:textFill>
            <w14:solidFill>
              <w14:schemeClr w14:val="tx1"/>
            </w14:solidFill>
          </w14:textFill>
        </w:rPr>
        <w:t>重庆</w:t>
      </w:r>
      <w:r>
        <w:rPr>
          <w:rFonts w:hint="eastAsia"/>
          <w:color w:val="000000" w:themeColor="text1"/>
          <w:szCs w:val="32"/>
          <w14:textFill>
            <w14:solidFill>
              <w14:schemeClr w14:val="tx1"/>
            </w14:solidFill>
          </w14:textFill>
        </w:rPr>
        <w:t>高新</w:t>
      </w:r>
      <w:r>
        <w:rPr>
          <w:rFonts w:hint="eastAsia"/>
          <w:color w:val="000000" w:themeColor="text1"/>
          <w:szCs w:val="32"/>
          <w:lang w:eastAsia="zh-CN"/>
          <w14:textFill>
            <w14:solidFill>
              <w14:schemeClr w14:val="tx1"/>
            </w14:solidFill>
          </w14:textFill>
        </w:rPr>
        <w:t>区</w:t>
      </w:r>
      <w:r>
        <w:rPr>
          <w:rFonts w:hint="eastAsia"/>
          <w:color w:val="000000" w:themeColor="text1"/>
          <w:szCs w:val="32"/>
          <w14:textFill>
            <w14:solidFill>
              <w14:schemeClr w14:val="tx1"/>
            </w14:solidFill>
          </w14:textFill>
        </w:rPr>
        <w:t>、永川、丰都、南川、垫江等区县</w:t>
      </w:r>
      <w:r>
        <w:rPr>
          <w:rFonts w:hint="eastAsia"/>
          <w:color w:val="000000" w:themeColor="text1"/>
          <w:szCs w:val="32"/>
          <w:lang w:eastAsia="zh-CN"/>
          <w14:textFill>
            <w14:solidFill>
              <w14:schemeClr w14:val="tx1"/>
            </w14:solidFill>
          </w14:textFill>
        </w:rPr>
        <w:t>（开发区），</w:t>
      </w:r>
      <w:r>
        <w:rPr>
          <w:rFonts w:hint="eastAsia"/>
          <w:color w:val="000000" w:themeColor="text1"/>
          <w:szCs w:val="32"/>
          <w14:textFill>
            <w14:solidFill>
              <w14:schemeClr w14:val="tx1"/>
            </w14:solidFill>
          </w14:textFill>
        </w:rPr>
        <w:t>系统构建现代建筑产业链。</w:t>
      </w:r>
    </w:p>
    <w:p>
      <w:pPr>
        <w:pStyle w:val="4"/>
        <w:ind w:firstLine="643"/>
      </w:pPr>
      <w:bookmarkStart w:id="172" w:name="_Toc66457144"/>
      <w:bookmarkStart w:id="173" w:name="_Toc91149509"/>
      <w:r>
        <w:rPr>
          <w:rFonts w:hint="eastAsia"/>
        </w:rPr>
        <w:t>2．推动装配式建筑项目实施</w:t>
      </w:r>
      <w:bookmarkEnd w:id="172"/>
      <w:bookmarkEnd w:id="173"/>
    </w:p>
    <w:p>
      <w:pPr>
        <w:ind w:firstLine="640"/>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推动现有政策落地实施，加大新型装配式建筑技术体系、高装配率技术体系、工业化装修技术体系工程应用项目试点示范建设，积极推动工业化预制构件产品在轨道交通、桥梁、隧道、综合管廊、人行天桥等市政工程项目中的应用，有条件的市政工程项目全面采用装配式建造方式。</w:t>
      </w:r>
    </w:p>
    <w:p>
      <w:pPr>
        <w:pStyle w:val="4"/>
        <w:ind w:firstLine="643"/>
      </w:pPr>
      <w:bookmarkStart w:id="174" w:name="_Toc66457145"/>
      <w:bookmarkStart w:id="175" w:name="_Toc91149510"/>
      <w:r>
        <w:rPr>
          <w:rFonts w:hint="eastAsia"/>
        </w:rPr>
        <w:t>3．提升装配式建筑企业实施能力</w:t>
      </w:r>
      <w:bookmarkEnd w:id="174"/>
      <w:bookmarkEnd w:id="175"/>
    </w:p>
    <w:p>
      <w:pPr>
        <w:ind w:firstLine="640"/>
      </w:pPr>
      <w:r>
        <w:rPr>
          <w:rFonts w:hint="eastAsia"/>
        </w:rPr>
        <w:t>合理引导选择装配式建筑技术路线，推广集成化标准化设计，推进建筑、结构、设备管线、装修等多专业一体化集成设计和协同设计，提升施工质量和效益。加强装配式建筑质量和技术问题研究，支持装配式建筑采用以设计、施工、生产一体化为核心的工程总承包模式，支持构件生产企业参与实施工程总承包，促进设计、生产、施工深度融合。</w:t>
      </w:r>
    </w:p>
    <w:p>
      <w:pPr>
        <w:pStyle w:val="3"/>
        <w:ind w:firstLine="643"/>
      </w:pPr>
      <w:bookmarkStart w:id="176" w:name="_Toc91149511"/>
      <w:r>
        <w:rPr>
          <w:rFonts w:hint="eastAsia"/>
        </w:rPr>
        <w:t>（五）大力发展绿色建造，推动建造方式低碳化</w:t>
      </w:r>
      <w:bookmarkEnd w:id="176"/>
    </w:p>
    <w:p>
      <w:pPr>
        <w:pStyle w:val="4"/>
        <w:ind w:firstLine="643"/>
      </w:pPr>
      <w:bookmarkStart w:id="177" w:name="_Toc91149512"/>
      <w:r>
        <w:rPr>
          <w:rFonts w:hint="eastAsia"/>
        </w:rPr>
        <w:t>1．推行绿色建造方式</w:t>
      </w:r>
      <w:bookmarkEnd w:id="177"/>
    </w:p>
    <w:p>
      <w:pPr>
        <w:ind w:firstLine="640"/>
      </w:pPr>
      <w:r>
        <w:rPr>
          <w:rFonts w:hint="eastAsia"/>
        </w:rPr>
        <w:t>实行工程建设项目全寿命周期内的绿色建造，建立健全绿色施工政策法规和技术标准体系，落实绿色建筑强制标准实施。推动星级绿色建筑、绿色生态住宅小区建设，主城都市区中心城区政府投资或以政府投资为主的新建公共建筑、社会投资建筑面积2万平方米及以上的大型公共建筑应至少达到二星级绿色建筑标准。加大绿色节能建筑发展，推进既有建筑绿色节能改造，提升既有建筑能效水平。积极推进建筑垃圾减量化，推动建筑废弃物的高效处理与再利用。强化绿色建材推广应用，加快推动绿色建材评价认证制度。</w:t>
      </w:r>
    </w:p>
    <w:p>
      <w:pPr>
        <w:pStyle w:val="4"/>
        <w:ind w:firstLine="643"/>
      </w:pPr>
      <w:bookmarkStart w:id="178" w:name="_Toc91149513"/>
      <w:r>
        <w:rPr>
          <w:rFonts w:hint="eastAsia"/>
        </w:rPr>
        <w:t>2．开展碳达峰碳中和工程示范</w:t>
      </w:r>
      <w:bookmarkEnd w:id="178"/>
    </w:p>
    <w:p>
      <w:pPr>
        <w:ind w:firstLine="640"/>
      </w:pPr>
      <w:r>
        <w:rPr>
          <w:rFonts w:hint="eastAsia"/>
          <w:lang w:eastAsia="zh-CN"/>
        </w:rPr>
        <w:t>探索制定</w:t>
      </w:r>
      <w:r>
        <w:rPr>
          <w:rFonts w:hint="eastAsia"/>
        </w:rPr>
        <w:t>全市建筑行业碳达峰、碳中和发展路线图，因地制宜制定科学合理的碳达峰、碳中和专项制度，完善顶层设计。谋划重点项目，重点谋划一批有利于推动经济、能源、产业等绿色低碳转型发展的政策举措和应用示范工程，开展超低能耗、低碳（零碳）建筑工程示范。完善建筑规划、设计、建设、运行、改造过程中碳排放控制标准、技术及产业支撑体系，推动建筑行业低碳发展的制度创新、技术创新和工程创新。</w:t>
      </w:r>
    </w:p>
    <w:p>
      <w:pPr>
        <w:pStyle w:val="3"/>
        <w:ind w:firstLine="643"/>
        <w:rPr>
          <w:color w:val="000000" w:themeColor="text1"/>
          <w14:textFill>
            <w14:solidFill>
              <w14:schemeClr w14:val="tx1"/>
            </w14:solidFill>
          </w14:textFill>
        </w:rPr>
      </w:pPr>
      <w:bookmarkStart w:id="179" w:name="_Toc65746618"/>
      <w:bookmarkStart w:id="180" w:name="_Toc66457146"/>
      <w:bookmarkStart w:id="181" w:name="_Toc13983"/>
      <w:bookmarkStart w:id="182" w:name="_Toc25090"/>
      <w:bookmarkStart w:id="183" w:name="_Toc8306"/>
      <w:bookmarkStart w:id="184" w:name="_Toc91149514"/>
      <w:r>
        <w:rPr>
          <w:rFonts w:hint="eastAsia"/>
          <w:color w:val="000000" w:themeColor="text1"/>
          <w14:textFill>
            <w14:solidFill>
              <w14:schemeClr w14:val="tx1"/>
            </w14:solidFill>
          </w14:textFill>
        </w:rPr>
        <w:t>（六）提升质量安全水平</w:t>
      </w:r>
      <w:bookmarkEnd w:id="179"/>
      <w:bookmarkEnd w:id="180"/>
      <w:bookmarkEnd w:id="181"/>
      <w:bookmarkEnd w:id="182"/>
      <w:bookmarkEnd w:id="183"/>
      <w:r>
        <w:rPr>
          <w:rFonts w:hint="eastAsia"/>
          <w:color w:val="000000" w:themeColor="text1"/>
          <w14:textFill>
            <w14:solidFill>
              <w14:schemeClr w14:val="tx1"/>
            </w14:solidFill>
          </w14:textFill>
        </w:rPr>
        <w:t>，推动治理能力现代化</w:t>
      </w:r>
      <w:bookmarkEnd w:id="184"/>
    </w:p>
    <w:p>
      <w:pPr>
        <w:pStyle w:val="4"/>
        <w:ind w:firstLine="643"/>
      </w:pPr>
      <w:bookmarkStart w:id="185" w:name="_Toc91149515"/>
      <w:bookmarkStart w:id="186" w:name="_Toc66457147"/>
      <w:r>
        <w:rPr>
          <w:rFonts w:hint="eastAsia"/>
        </w:rPr>
        <w:t>1．夯实参建单位主体责任</w:t>
      </w:r>
      <w:bookmarkEnd w:id="185"/>
      <w:bookmarkEnd w:id="186"/>
    </w:p>
    <w:p>
      <w:pPr>
        <w:ind w:firstLine="640"/>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全面落实各方主体的工程质量安全责任，以落实《重庆市建设工程建设单位质量安全首要责任管理规定》为切入点，强化建设单位的首要责任和勘察、设计、施工单位的主体责任。严格执行工程质量终身责任制，公示质量责任主体和责任人，纳入质量终身责任档案。加强对工程建设全过程安全管理和参建各方的履约管理，强化施工单位安全主体责任，严格落实《工程质量安全手册》，督促指导建筑施工企业建立健全全员安全生产责任制，督促监理单位履行安全监理职责，强化勘察、设计、检测单位依法履行安全生产主体责任。</w:t>
      </w:r>
    </w:p>
    <w:p>
      <w:pPr>
        <w:pStyle w:val="4"/>
        <w:ind w:firstLine="643"/>
      </w:pPr>
      <w:bookmarkStart w:id="187" w:name="_Toc66457148"/>
      <w:bookmarkStart w:id="188" w:name="_Toc91149516"/>
      <w:r>
        <w:rPr>
          <w:rFonts w:hint="eastAsia"/>
        </w:rPr>
        <w:t>2．健全质量安全</w:t>
      </w:r>
      <w:bookmarkEnd w:id="187"/>
      <w:r>
        <w:rPr>
          <w:rFonts w:hint="eastAsia"/>
        </w:rPr>
        <w:t>治理体系</w:t>
      </w:r>
      <w:bookmarkEnd w:id="188"/>
    </w:p>
    <w:p>
      <w:pPr>
        <w:ind w:firstLine="640"/>
        <w:rPr>
          <w:rFonts w:cstheme="minorBidi"/>
          <w:color w:val="000000" w:themeColor="text1"/>
          <w:szCs w:val="32"/>
          <w14:textFill>
            <w14:solidFill>
              <w14:schemeClr w14:val="tx1"/>
            </w14:solidFill>
          </w14:textFill>
        </w:rPr>
      </w:pPr>
      <w:r>
        <w:rPr>
          <w:rFonts w:hint="eastAsia" w:cstheme="minorBidi"/>
          <w:color w:val="000000" w:themeColor="text1"/>
          <w:szCs w:val="32"/>
          <w14:textFill>
            <w14:solidFill>
              <w14:schemeClr w14:val="tx1"/>
            </w14:solidFill>
          </w14:textFill>
        </w:rPr>
        <w:t>完善工程质量安全法律法规和管理制度，健全企业负责、政府监管、社会监督的工程质量安全保障体系。建立五方责任主体和责任人的公示制度，完善工程质量事故、质量问题的查处通报制度，强化质量责任追究和处罚。完善《重庆市房屋建筑和市政基础设施工程质量常见问题防治要点》，针对性地对质量常见问题进行专项研究和治理。修订《重庆市房屋建筑和市政基础设施工程质量监督管理实施办法》，推进工程质量标准化管理。完善质量保险体制机制，培育发展优质的质量风险管控机构，推动工程质量保险制度创新。</w:t>
      </w:r>
    </w:p>
    <w:p>
      <w:pPr>
        <w:ind w:firstLine="640"/>
      </w:pPr>
      <w:r>
        <w:rPr>
          <w:rFonts w:hint="eastAsia" w:cstheme="minorBidi"/>
          <w:color w:val="000000" w:themeColor="text1"/>
          <w:szCs w:val="32"/>
          <w14:textFill>
            <w14:solidFill>
              <w14:schemeClr w14:val="tx1"/>
            </w14:solidFill>
          </w14:textFill>
        </w:rPr>
        <w:t>加强安全风险防控，深入贯彻落实工程隐患日周月排查治理制度，严格落实“日清周进、周清月进、月清季进”的工作机制，构建事故隐患排查治理长效机制。在房屋市政工程领域施工阶段严格落实关键节点的风险管控实施指南。进一步落实《重庆市危险性较大的分部分项工程管理实施细则》，强化对深基坑、高支模、起重机械等危险性较大的分部分项工程的管理。完善安全专家库，健全我市危大工程安全管控体系，完善危大工程管理系统。研究完善建筑施工安全生产责任保险制度，建立健全投保理赔事故预防机制。</w:t>
      </w:r>
      <w:bookmarkStart w:id="189" w:name="_Toc66457149"/>
    </w:p>
    <w:p>
      <w:pPr>
        <w:pStyle w:val="4"/>
        <w:ind w:firstLine="643"/>
      </w:pPr>
      <w:bookmarkStart w:id="190" w:name="_Toc91149517"/>
      <w:r>
        <w:rPr>
          <w:rFonts w:hint="eastAsia"/>
        </w:rPr>
        <w:t>3．提升质量安全监管水平</w:t>
      </w:r>
      <w:bookmarkEnd w:id="189"/>
      <w:bookmarkEnd w:id="190"/>
    </w:p>
    <w:p>
      <w:pPr>
        <w:ind w:firstLine="640"/>
      </w:pPr>
      <w:r>
        <w:rPr>
          <w:rFonts w:hint="eastAsia" w:cstheme="minorBidi"/>
          <w:color w:val="000000" w:themeColor="text1"/>
          <w:szCs w:val="32"/>
          <w14:textFill>
            <w14:solidFill>
              <w14:schemeClr w14:val="tx1"/>
            </w14:solidFill>
          </w14:textFill>
        </w:rPr>
        <w:t>对全市在建房屋建筑和市政基础设施工程持续开展“双随机、一公开”和“飞行检查”，持续开展开裂、渗漏、空鼓等工程质量常见问题专项执法检查行动。加强工程监理行业监督检查，严格核查监理单位</w:t>
      </w:r>
      <w:r>
        <w:rPr>
          <w:rFonts w:hint="eastAsia" w:cstheme="minorBidi"/>
          <w:color w:val="000000" w:themeColor="text1"/>
          <w:szCs w:val="32"/>
          <w:lang w:eastAsia="zh-CN"/>
          <w14:textFill>
            <w14:solidFill>
              <w14:schemeClr w14:val="tx1"/>
            </w14:solidFill>
          </w14:textFill>
        </w:rPr>
        <w:t>违反</w:t>
      </w:r>
      <w:r>
        <w:rPr>
          <w:rFonts w:hint="eastAsia" w:cstheme="minorBidi"/>
          <w:color w:val="000000" w:themeColor="text1"/>
          <w:szCs w:val="32"/>
          <w14:textFill>
            <w14:solidFill>
              <w14:schemeClr w14:val="tx1"/>
            </w14:solidFill>
          </w14:textFill>
        </w:rPr>
        <w:t>“十不准”行为。严厉打击检测机构弄虚作假行为，确保工程检测数据真实有效。持续开展建材行业专项检查，强化商品混凝土质量信息化管理。加强质量监管队伍能力建设，提升专业能力和管理水平。创新质量监管模式，推行购买服务方式，委托具备条件的社会力量进行工程质量监督检查。引入公众监督机制，试点“工地开放日”制度。</w:t>
      </w:r>
    </w:p>
    <w:p>
      <w:pPr>
        <w:ind w:firstLine="640"/>
        <w:rPr>
          <w:rFonts w:cstheme="minorBidi"/>
          <w:color w:val="000000" w:themeColor="text1"/>
          <w:szCs w:val="32"/>
          <w14:textFill>
            <w14:solidFill>
              <w14:schemeClr w14:val="tx1"/>
            </w14:solidFill>
          </w14:textFill>
        </w:rPr>
      </w:pPr>
      <w:r>
        <w:rPr>
          <w:rFonts w:hint="eastAsia" w:cstheme="minorBidi"/>
          <w:color w:val="000000" w:themeColor="text1"/>
          <w:szCs w:val="32"/>
          <w14:textFill>
            <w14:solidFill>
              <w14:schemeClr w14:val="tx1"/>
            </w14:solidFill>
          </w14:textFill>
        </w:rPr>
        <w:t>持续开展集中执法行动、大督查大执法和建筑起重机械、消防安全、轨道交通工程、“两防”专项整治等专项检查。持续推进建筑施工安全生产标准化考评工作。编制完善《建设工程施工安全监督方案》，形成具有针对性的监管措施，提高监管效能。加强安全生产技术研究，加快安全生产科技创新和成果转化步伐，大力推广先进、成熟、适用的安全生产技术和创新成果。扩充安全监管队伍，强化安全管理行为动态监管。健全新型安全监管机制，完善跨领域跨部门联动执法、协同监管机制，加强社会监督、舆论监督和企业内部监督。</w:t>
      </w:r>
    </w:p>
    <w:p>
      <w:pPr>
        <w:pStyle w:val="3"/>
        <w:ind w:firstLine="643"/>
        <w:rPr>
          <w:color w:val="000000" w:themeColor="text1"/>
          <w14:textFill>
            <w14:solidFill>
              <w14:schemeClr w14:val="tx1"/>
            </w14:solidFill>
          </w14:textFill>
        </w:rPr>
      </w:pPr>
      <w:bookmarkStart w:id="191" w:name="_Toc260"/>
      <w:bookmarkStart w:id="192" w:name="_Toc2479"/>
      <w:bookmarkStart w:id="193" w:name="_Toc66457151"/>
      <w:bookmarkStart w:id="194" w:name="_Toc65746619"/>
      <w:bookmarkStart w:id="195" w:name="_Toc24445"/>
      <w:bookmarkStart w:id="196" w:name="_Toc91149518"/>
      <w:r>
        <w:rPr>
          <w:rFonts w:hint="eastAsia"/>
          <w:color w:val="000000" w:themeColor="text1"/>
          <w14:textFill>
            <w14:solidFill>
              <w14:schemeClr w14:val="tx1"/>
            </w14:solidFill>
          </w14:textFill>
        </w:rPr>
        <w:t>（七）深化“放管服”改革，</w:t>
      </w:r>
      <w:bookmarkEnd w:id="191"/>
      <w:bookmarkEnd w:id="192"/>
      <w:bookmarkEnd w:id="193"/>
      <w:bookmarkEnd w:id="194"/>
      <w:bookmarkEnd w:id="195"/>
      <w:r>
        <w:rPr>
          <w:rFonts w:hint="eastAsia"/>
          <w:color w:val="000000" w:themeColor="text1"/>
          <w14:textFill>
            <w14:solidFill>
              <w14:schemeClr w14:val="tx1"/>
            </w14:solidFill>
          </w14:textFill>
        </w:rPr>
        <w:t>营造优质行业发展环境</w:t>
      </w:r>
      <w:bookmarkEnd w:id="196"/>
    </w:p>
    <w:p>
      <w:pPr>
        <w:pStyle w:val="4"/>
        <w:ind w:firstLine="643"/>
      </w:pPr>
      <w:bookmarkStart w:id="197" w:name="_Toc66457152"/>
      <w:bookmarkStart w:id="198" w:name="_Toc91149519"/>
      <w:r>
        <w:t>1</w:t>
      </w:r>
      <w:r>
        <w:rPr>
          <w:rFonts w:hint="eastAsia"/>
        </w:rPr>
        <w:t>．</w:t>
      </w:r>
      <w:bookmarkEnd w:id="197"/>
      <w:r>
        <w:rPr>
          <w:rFonts w:hint="eastAsia"/>
        </w:rPr>
        <w:t>持续优化营商环境</w:t>
      </w:r>
      <w:bookmarkEnd w:id="198"/>
    </w:p>
    <w:p>
      <w:pPr>
        <w:ind w:firstLine="640"/>
        <w:rPr>
          <w:rFonts w:ascii="方正仿宋_GBK" w:cstheme="minorBidi"/>
          <w:color w:val="000000" w:themeColor="text1"/>
          <w:szCs w:val="32"/>
          <w14:textFill>
            <w14:solidFill>
              <w14:schemeClr w14:val="tx1"/>
            </w14:solidFill>
          </w14:textFill>
        </w:rPr>
      </w:pPr>
      <w:r>
        <w:rPr>
          <w:rFonts w:hint="eastAsia" w:ascii="方正仿宋_GBK" w:cstheme="minorBidi"/>
          <w:color w:val="000000" w:themeColor="text1"/>
          <w:szCs w:val="32"/>
          <w14:textFill>
            <w14:solidFill>
              <w14:schemeClr w14:val="tx1"/>
            </w14:solidFill>
          </w14:textFill>
        </w:rPr>
        <w:t>深化工程建设审批制度改革，始终以企业群众满足感为评判标准，聚焦改革中的堵点和卡点，持续推进全市工程建设领域审批制度改革各项措施落实落地；以迭代审批系统功能、清理审批服务事项、优化审批办理流程为抓手，实现委内审批事项时限再压减，确保办理时限压减率达三分之二以上。深化办理建筑许可改革，对标一流和营商环境创新试点工作要求，优化联合验收方式，聚焦社会投资小型低风险建设项目，进一步优化改革措施，持续提升办理建筑许可指标水平。积极探索逐步扩大小型低风险类政策覆盖范围，持续打造市场化、法治化、国际化营商环境。加快推进“证照分离”改革，建筑施工企业资质审批、安全生产许可积极推行告知承诺制，全面推行企业资质和人员资格电子证照。会同审批服务中心探索专职代办服务，在全市各区县工程建设政务服务大厅设立代办服务专区，对世行关注的社会投资小型低风险项目实施无偿代办服务，进一步提升政务服务效能。</w:t>
      </w:r>
    </w:p>
    <w:p>
      <w:pPr>
        <w:pStyle w:val="4"/>
        <w:ind w:firstLine="643"/>
      </w:pPr>
      <w:bookmarkStart w:id="199" w:name="_Toc66457153"/>
      <w:bookmarkStart w:id="200" w:name="_Toc91149520"/>
      <w:r>
        <w:rPr>
          <w:rFonts w:hint="eastAsia"/>
        </w:rPr>
        <w:t>2．进一步</w:t>
      </w:r>
      <w:bookmarkEnd w:id="199"/>
      <w:r>
        <w:rPr>
          <w:rFonts w:hint="eastAsia"/>
        </w:rPr>
        <w:t>规范市场秩序</w:t>
      </w:r>
      <w:bookmarkEnd w:id="200"/>
    </w:p>
    <w:p>
      <w:pPr>
        <w:ind w:firstLine="640"/>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严格实施本市建设工程企业资质和市外企业入渝信息动态监管，统筹开展资质“双随机、一公开”检查。创新项目监管体系，全面落实工程建设各方主体及项目负责人质量安全责任，进一步明确责任边界，构建以落实建设单位首要责任为基础的项目质量安全主体责任体系。创新政府监管方式，加强事中事后监管和差异化监管，完善日常动态监管和执法衔接机制，提高精准执法和服务水平；鼓励开展政府购买服务，委托具备条件的社会力量参与管理服务，进一步提升管理水平；推行“互联网+监管”模式，依托智能建造、智慧工地等信息化应用平台，充分利用大数据，实施信息化管理，全面提升监管效能。加强监管队伍建设，加大专业人员培训力度，强化层级考核机制，提升监管队伍标准化、专业化水平。</w:t>
      </w:r>
    </w:p>
    <w:p>
      <w:pPr>
        <w:pStyle w:val="4"/>
        <w:ind w:firstLine="643"/>
      </w:pPr>
      <w:bookmarkStart w:id="201" w:name="_Toc91149521"/>
      <w:bookmarkStart w:id="202" w:name="_Toc66457154"/>
      <w:r>
        <w:rPr>
          <w:rFonts w:hint="eastAsia"/>
        </w:rPr>
        <w:t>3．深化工程造价改革</w:t>
      </w:r>
      <w:bookmarkEnd w:id="201"/>
      <w:bookmarkEnd w:id="202"/>
    </w:p>
    <w:p>
      <w:pPr>
        <w:ind w:firstLine="640"/>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完善工程造价市场形成机制，坚持市场在资源配置中起决定性作用，逐步弱化编制发布预算定额，推行清单计量、市场询价、自主报价、竞争定价的工程计价方式；完善我市工程量清单计价和计量规则，形成统一工程项目划分、特征描述、计算规则和计算口径；探索招标控制价（最高投标限价）市场化改革。深化工程计价依据改革，以服务工程全过程为目标，优化编制概算定额、投资估算指标；编制市场计价参考的消耗量定额，引导和鼓励施工企业编制企业自身计价依据。加强工程造价数据监测，采集和分析工程造价成果文件数据，实现对工程造价数据的深度挖掘，研究按工程类型、建筑结构等分类发布不同层级的工程造价指数指标，加快建立我市工程造价数据库。推进工程造价信息多元化服务方式，鼓励社会力量开展工程造价信息服务。强化建设单位造价管控责任，深化合同履约管理，全面推行施工过程价款结算和支付，推行分包单位农民工工资委托施工总承包单位代发制度，切实防止和解决拖欠建筑领域农民工工资，维护建设各方合法权益和建设市场和谐稳定。</w:t>
      </w:r>
    </w:p>
    <w:p>
      <w:pPr>
        <w:pStyle w:val="3"/>
        <w:ind w:firstLine="643"/>
        <w:rPr>
          <w:color w:val="000000" w:themeColor="text1"/>
          <w14:textFill>
            <w14:solidFill>
              <w14:schemeClr w14:val="tx1"/>
            </w14:solidFill>
          </w14:textFill>
        </w:rPr>
      </w:pPr>
      <w:bookmarkStart w:id="203" w:name="_Toc65746620"/>
      <w:bookmarkStart w:id="204" w:name="_Toc66457155"/>
      <w:bookmarkStart w:id="205" w:name="_Toc8830"/>
      <w:bookmarkStart w:id="206" w:name="_Toc7918"/>
      <w:bookmarkStart w:id="207" w:name="_Toc25961"/>
      <w:bookmarkStart w:id="208" w:name="_Toc91149522"/>
      <w:r>
        <w:rPr>
          <w:rFonts w:hint="eastAsia"/>
          <w:color w:val="000000" w:themeColor="text1"/>
          <w14:textFill>
            <w14:solidFill>
              <w14:schemeClr w14:val="tx1"/>
            </w14:solidFill>
          </w14:textFill>
        </w:rPr>
        <w:t>（八）提升人员综合素质，</w:t>
      </w:r>
      <w:bookmarkEnd w:id="203"/>
      <w:bookmarkEnd w:id="204"/>
      <w:bookmarkEnd w:id="205"/>
      <w:bookmarkEnd w:id="206"/>
      <w:bookmarkEnd w:id="207"/>
      <w:r>
        <w:rPr>
          <w:rFonts w:hint="eastAsia"/>
          <w:color w:val="000000" w:themeColor="text1"/>
          <w14:textFill>
            <w14:solidFill>
              <w14:schemeClr w14:val="tx1"/>
            </w14:solidFill>
          </w14:textFill>
        </w:rPr>
        <w:t>培育人才队伍专业化</w:t>
      </w:r>
      <w:bookmarkEnd w:id="208"/>
    </w:p>
    <w:p>
      <w:pPr>
        <w:pStyle w:val="4"/>
        <w:ind w:firstLine="643"/>
      </w:pPr>
      <w:bookmarkStart w:id="209" w:name="_Toc66457156"/>
      <w:bookmarkStart w:id="210" w:name="_Toc91149523"/>
      <w:r>
        <w:rPr>
          <w:rFonts w:hint="eastAsia"/>
        </w:rPr>
        <w:t>1．培育建筑企业自有工人队伍</w:t>
      </w:r>
      <w:bookmarkEnd w:id="209"/>
      <w:bookmarkEnd w:id="210"/>
    </w:p>
    <w:p>
      <w:pPr>
        <w:ind w:firstLine="640"/>
      </w:pPr>
      <w:r>
        <w:rPr>
          <w:rFonts w:hint="eastAsia"/>
        </w:rPr>
        <w:t>深化建筑劳务用工改革，出台承发包、税收、保证金等激励政策，加大财税支持力度，推动专业作业企业、装配式建筑企业和总承包企业按各自特点建立自有工人队伍。完善建筑工人职业技能标准及评价考核体系，形成政府引导、企业主导、社会培训机构参与的技能提升机制，引导建筑企业通过采取购买服务、岗前培训、工学结合、校企合作等多种形式，开展技能培训和技能评价。充分利用大数据、物联网等现代信息技术，建立建筑工人基础数据信息，强化对建筑工人从业质量的管理，建立全市建筑工人信息数据库，建立工人档案，实行实名制管理。充分发挥党建引领和工会组织作用，广泛开展职业技能竞赛和人才评选，改善建筑工人社会地位和社会福利。</w:t>
      </w:r>
      <w:bookmarkStart w:id="211" w:name="_Toc66457157"/>
    </w:p>
    <w:p>
      <w:pPr>
        <w:pStyle w:val="4"/>
        <w:ind w:firstLine="643"/>
      </w:pPr>
      <w:bookmarkStart w:id="212" w:name="_Toc91149524"/>
      <w:r>
        <w:rPr>
          <w:rFonts w:hint="eastAsia"/>
        </w:rPr>
        <w:t>2．加强高层次管理人才队伍建设</w:t>
      </w:r>
      <w:bookmarkEnd w:id="211"/>
      <w:bookmarkEnd w:id="212"/>
    </w:p>
    <w:p>
      <w:pPr>
        <w:ind w:firstLine="640"/>
        <w:rPr>
          <w:rFonts w:cstheme="minorBidi"/>
          <w:color w:val="000000" w:themeColor="text1"/>
          <w:szCs w:val="32"/>
          <w14:textFill>
            <w14:solidFill>
              <w14:schemeClr w14:val="tx1"/>
            </w14:solidFill>
          </w14:textFill>
        </w:rPr>
      </w:pPr>
      <w:r>
        <w:rPr>
          <w:rFonts w:hint="eastAsia" w:cstheme="minorBidi"/>
          <w:color w:val="000000" w:themeColor="text1"/>
          <w:szCs w:val="32"/>
          <w14:textFill>
            <w14:solidFill>
              <w14:schemeClr w14:val="tx1"/>
            </w14:solidFill>
          </w14:textFill>
        </w:rPr>
        <w:t>建设建筑业创新型人才培养引进平台，加大人才培养和引进力度，加快引进高层次人才，积极推动建筑企业及关联产业企业与高等学校和科研院所的合作，支持具备条件的企业对接高等院校实行定向培养。依托高校建立国际化技术人才培养和输送平台，培养一批具有国际化设计、工程施工能力的高端技术人才和优秀管理人才。建立健全人才激励表彰机制，发挥优秀建筑企业家带头作用。积极培育既有国际视野又有民族自信的建筑师队伍，加快培养熟悉国际规则的建筑业高级管理人才。强化注册建造师、注册造价师等人员培训，培养综合实力较强的专业队伍，努力发挥专业人才作用，提升执业地位。</w:t>
      </w:r>
    </w:p>
    <w:p>
      <w:pPr>
        <w:pStyle w:val="3"/>
        <w:ind w:firstLine="643"/>
        <w:rPr>
          <w:color w:val="000000" w:themeColor="text1"/>
          <w14:textFill>
            <w14:solidFill>
              <w14:schemeClr w14:val="tx1"/>
            </w14:solidFill>
          </w14:textFill>
        </w:rPr>
      </w:pPr>
      <w:bookmarkStart w:id="213" w:name="_Toc65746621"/>
      <w:bookmarkStart w:id="214" w:name="_Toc66457158"/>
      <w:bookmarkStart w:id="215" w:name="_Toc27965"/>
      <w:bookmarkStart w:id="216" w:name="_Toc20929"/>
      <w:bookmarkStart w:id="217" w:name="_Toc24189"/>
      <w:bookmarkStart w:id="218" w:name="_Toc91149525"/>
      <w:r>
        <w:rPr>
          <w:rFonts w:hint="eastAsia"/>
          <w:color w:val="000000" w:themeColor="text1"/>
          <w14:textFill>
            <w14:solidFill>
              <w14:schemeClr w14:val="tx1"/>
            </w14:solidFill>
          </w14:textFill>
        </w:rPr>
        <w:t>（九）</w:t>
      </w:r>
      <w:bookmarkEnd w:id="213"/>
      <w:bookmarkEnd w:id="214"/>
      <w:bookmarkEnd w:id="215"/>
      <w:bookmarkEnd w:id="216"/>
      <w:bookmarkEnd w:id="217"/>
      <w:r>
        <w:rPr>
          <w:rFonts w:hint="eastAsia"/>
          <w:color w:val="000000" w:themeColor="text1"/>
          <w14:textFill>
            <w14:solidFill>
              <w14:schemeClr w14:val="tx1"/>
            </w14:solidFill>
          </w14:textFill>
        </w:rPr>
        <w:t>加强川渝建筑业合作，协同推进高质量发展</w:t>
      </w:r>
      <w:bookmarkEnd w:id="218"/>
    </w:p>
    <w:p>
      <w:pPr>
        <w:pStyle w:val="4"/>
        <w:ind w:firstLine="643"/>
      </w:pPr>
      <w:bookmarkStart w:id="219" w:name="_Toc91149526"/>
      <w:r>
        <w:rPr>
          <w:rFonts w:hint="eastAsia"/>
        </w:rPr>
        <w:t>1．推动成渝地区双城经济圈建筑产业协同发展</w:t>
      </w:r>
      <w:bookmarkEnd w:id="219"/>
    </w:p>
    <w:p>
      <w:pPr>
        <w:ind w:firstLine="640"/>
        <w:rPr>
          <w:rFonts w:cstheme="minorBidi"/>
          <w:color w:val="000000" w:themeColor="text1"/>
          <w:szCs w:val="32"/>
          <w14:textFill>
            <w14:solidFill>
              <w14:schemeClr w14:val="tx1"/>
            </w14:solidFill>
          </w14:textFill>
        </w:rPr>
      </w:pPr>
      <w:r>
        <w:rPr>
          <w:rFonts w:hint="eastAsia" w:cstheme="minorBidi"/>
          <w:color w:val="000000" w:themeColor="text1"/>
          <w:szCs w:val="32"/>
          <w14:textFill>
            <w14:solidFill>
              <w14:schemeClr w14:val="tx1"/>
            </w14:solidFill>
          </w14:textFill>
        </w:rPr>
        <w:t>积极探索建立成渝地区住建领域区域联盟、市场联盟、院系联盟、协会联盟、专家联盟，推动行业领域中更广泛的合作。共同抓住成渝地区双城经济圈建设机遇，做强做优川渝建筑产业。一是共同培育产业，积极争取将建筑产业园区纳入成渝地区双城经济圈重大产业布局，探索合力建设川渝建筑产业园区；二是共同支持市场主体，支持一批龙头企业抱团发展；三是共同拓展市场，搭好平台、共同行动，积极开展推介会，对外拓展市场。围绕共同推动成渝地区双城经济圈建设，加强双方工作协同，建立更加务实高效的合作机制，深化泸州永川等川渝地区住建领域合作，助推川渝融合发展示范区建设。以川渝合作为示范，促进与其他区域的建筑业合作发展，建立统一开放的建筑市场，打破市场壁垒。</w:t>
      </w:r>
    </w:p>
    <w:p>
      <w:pPr>
        <w:pStyle w:val="4"/>
        <w:ind w:firstLine="643"/>
      </w:pPr>
      <w:bookmarkStart w:id="220" w:name="_Toc91149527"/>
      <w:r>
        <w:rPr>
          <w:rStyle w:val="26"/>
          <w:b/>
          <w:bCs/>
        </w:rPr>
        <w:t>2</w:t>
      </w:r>
      <w:r>
        <w:rPr>
          <w:rStyle w:val="26"/>
          <w:rFonts w:hint="eastAsia"/>
          <w:b/>
          <w:bCs/>
        </w:rPr>
        <w:t>．深化成渝地区双城经济圈建筑业“放管服”改革</w:t>
      </w:r>
      <w:bookmarkEnd w:id="220"/>
    </w:p>
    <w:p>
      <w:pPr>
        <w:ind w:firstLine="640"/>
      </w:pPr>
      <w:bookmarkStart w:id="221" w:name="_Toc66457159"/>
      <w:r>
        <w:rPr>
          <w:rFonts w:hint="eastAsia"/>
        </w:rPr>
        <w:t>促进成渝地区建筑业服务联办，推进成渝地区双城经济圈住建系统建筑业管理政务服务等同标准受理、无差别办理、行政审批结果互认。推动监管联合，推进成渝地区住建系统协同监管，实现违法线索互联、处理信息互通。强化质量安全主体责任追究联动机制，协助对方清欠维稳工作联动。建立统一开放的建筑市场，打破市场壁垒。加强信用联通，加强诚信体系建设，认可本地企业在对方行政区域内获得的省级奖励和表彰。实现数据联网，开放建筑业管理政务信息资源共享体系。成渝双方互配建筑业管理政务系统查询权限，为两地住建部门开展事中事后监管工作提供支撑。强化审批联动，双方互相配合审批过程中的业绩核查、人员资格检查等事宜。创新成果联享，加强经验交流，共同创新改革举措，建立“放管服”改革最新政策措施、亮点做法互通机制。</w:t>
      </w:r>
    </w:p>
    <w:p>
      <w:pPr>
        <w:pStyle w:val="3"/>
        <w:ind w:firstLine="643"/>
      </w:pPr>
      <w:bookmarkStart w:id="222" w:name="_Toc91149528"/>
      <w:r>
        <w:rPr>
          <w:rFonts w:hint="eastAsia"/>
        </w:rPr>
        <w:t>（十）积极拓展外部市场，拓展行业发展新空间</w:t>
      </w:r>
      <w:bookmarkEnd w:id="221"/>
      <w:bookmarkEnd w:id="222"/>
    </w:p>
    <w:p>
      <w:pPr>
        <w:pStyle w:val="4"/>
        <w:ind w:firstLine="643"/>
      </w:pPr>
      <w:bookmarkStart w:id="223" w:name="_Toc91149529"/>
      <w:r>
        <w:rPr>
          <w:rFonts w:hint="eastAsia"/>
        </w:rPr>
        <w:t>1．提高建筑企业对外承包能力</w:t>
      </w:r>
      <w:bookmarkEnd w:id="223"/>
    </w:p>
    <w:p>
      <w:pPr>
        <w:ind w:firstLine="640"/>
        <w:rPr>
          <w:rFonts w:cstheme="minorBidi"/>
          <w:color w:val="000000" w:themeColor="text1"/>
          <w:szCs w:val="32"/>
          <w14:textFill>
            <w14:solidFill>
              <w14:schemeClr w14:val="tx1"/>
            </w14:solidFill>
          </w14:textFill>
        </w:rPr>
      </w:pPr>
      <w:r>
        <w:rPr>
          <w:rFonts w:hint="eastAsia" w:cstheme="minorBidi"/>
          <w:color w:val="000000" w:themeColor="text1"/>
          <w:szCs w:val="32"/>
          <w14:textFill>
            <w14:solidFill>
              <w14:schemeClr w14:val="tx1"/>
            </w14:solidFill>
          </w14:textFill>
        </w:rPr>
        <w:t>利用中新互联互通合作平台，积极发挥我市作为“一带一路”和长江经济带联结点的作用和功能，主动参与国家“一带一路”建设，加快拓展东南亚、中东、非洲等潜力较大的国际市场。鼓励有条件的企业与国际国内大承包商建立长期合作关系，鼓励大企业带动中小企业合作“出海”，扩大市场份额。鼓励企业在境外设立分支机构，独立承揽工程项目，并提高属地化经营水平，实现与项目所在地区和国家互利共赢。</w:t>
      </w:r>
    </w:p>
    <w:p>
      <w:pPr>
        <w:pStyle w:val="4"/>
        <w:ind w:firstLine="643"/>
      </w:pPr>
      <w:bookmarkStart w:id="224" w:name="_Toc91149530"/>
      <w:r>
        <w:rPr>
          <w:rFonts w:hint="eastAsia"/>
        </w:rPr>
        <w:t>2．加强建筑企业对外开拓扶持</w:t>
      </w:r>
      <w:bookmarkEnd w:id="224"/>
    </w:p>
    <w:p>
      <w:pPr>
        <w:ind w:firstLine="640"/>
        <w:rPr>
          <w:rFonts w:cstheme="minorBidi"/>
          <w:color w:val="000000" w:themeColor="text1"/>
          <w:szCs w:val="32"/>
          <w14:textFill>
            <w14:solidFill>
              <w14:schemeClr w14:val="tx1"/>
            </w14:solidFill>
          </w14:textFill>
        </w:rPr>
      </w:pPr>
      <w:r>
        <w:rPr>
          <w:rFonts w:hint="eastAsia" w:cstheme="minorBidi"/>
          <w:color w:val="000000" w:themeColor="text1"/>
          <w:szCs w:val="32"/>
          <w14:textFill>
            <w14:solidFill>
              <w14:schemeClr w14:val="tx1"/>
            </w14:solidFill>
          </w14:textFill>
        </w:rPr>
        <w:t>加强与其他省市区战略合作和交流，建立健全沟通协调和信息共享机制。加强对我市在外地经营建筑企业的服务，</w:t>
      </w:r>
      <w:r>
        <w:rPr>
          <w:rFonts w:hint="eastAsia" w:cstheme="minorBidi"/>
          <w:color w:val="000000" w:themeColor="text1"/>
          <w:szCs w:val="32"/>
          <w:lang w:eastAsia="zh-CN"/>
          <w14:textFill>
            <w14:solidFill>
              <w14:schemeClr w14:val="tx1"/>
            </w14:solidFill>
          </w14:textFill>
        </w:rPr>
        <w:t>探索</w:t>
      </w:r>
      <w:r>
        <w:rPr>
          <w:rFonts w:hint="eastAsia" w:cstheme="minorBidi"/>
          <w:color w:val="000000" w:themeColor="text1"/>
          <w:szCs w:val="32"/>
          <w14:textFill>
            <w14:solidFill>
              <w14:schemeClr w14:val="tx1"/>
            </w14:solidFill>
          </w14:textFill>
        </w:rPr>
        <w:t>在输出较多、市场潜力较大的省市设立驻外办事处，加强与外地建设主管部门的沟通协调，维护企业在外合法权益，为企业拓展市外市场提供服务和帮助。</w:t>
      </w:r>
    </w:p>
    <w:p>
      <w:pPr>
        <w:pStyle w:val="2"/>
        <w:ind w:firstLine="640"/>
        <w:rPr>
          <w:color w:val="000000" w:themeColor="text1"/>
          <w:szCs w:val="32"/>
          <w14:textFill>
            <w14:solidFill>
              <w14:schemeClr w14:val="tx1"/>
            </w14:solidFill>
          </w14:textFill>
        </w:rPr>
      </w:pPr>
      <w:bookmarkStart w:id="225" w:name="_Toc2792"/>
      <w:bookmarkStart w:id="226" w:name="_Toc2001"/>
      <w:bookmarkStart w:id="227" w:name="_Toc2908"/>
      <w:bookmarkStart w:id="228" w:name="_Toc91149531"/>
      <w:bookmarkStart w:id="229" w:name="_Toc65746622"/>
      <w:bookmarkStart w:id="230" w:name="_Toc66457160"/>
      <w:r>
        <w:rPr>
          <w:rFonts w:hint="eastAsia"/>
          <w:color w:val="000000" w:themeColor="text1"/>
          <w:szCs w:val="32"/>
          <w14:textFill>
            <w14:solidFill>
              <w14:schemeClr w14:val="tx1"/>
            </w14:solidFill>
          </w14:textFill>
        </w:rPr>
        <w:t>五、保障措施</w:t>
      </w:r>
      <w:bookmarkEnd w:id="225"/>
      <w:bookmarkEnd w:id="226"/>
      <w:bookmarkEnd w:id="227"/>
      <w:bookmarkEnd w:id="228"/>
      <w:bookmarkEnd w:id="229"/>
      <w:bookmarkEnd w:id="230"/>
    </w:p>
    <w:p>
      <w:pPr>
        <w:pStyle w:val="3"/>
        <w:ind w:firstLine="643"/>
        <w:rPr>
          <w:color w:val="000000" w:themeColor="text1"/>
          <w14:textFill>
            <w14:solidFill>
              <w14:schemeClr w14:val="tx1"/>
            </w14:solidFill>
          </w14:textFill>
        </w:rPr>
      </w:pPr>
      <w:bookmarkStart w:id="231" w:name="_Toc65746623"/>
      <w:bookmarkStart w:id="232" w:name="_Toc66457161"/>
      <w:bookmarkStart w:id="233" w:name="_Toc17863"/>
      <w:bookmarkStart w:id="234" w:name="_Toc23882"/>
      <w:bookmarkStart w:id="235" w:name="_Toc19614"/>
      <w:bookmarkStart w:id="236" w:name="_Toc91149532"/>
      <w:r>
        <w:rPr>
          <w:rFonts w:hint="eastAsia"/>
          <w:color w:val="000000" w:themeColor="text1"/>
          <w14:textFill>
            <w14:solidFill>
              <w14:schemeClr w14:val="tx1"/>
            </w14:solidFill>
          </w14:textFill>
        </w:rPr>
        <w:t>（一）强化组织领导</w:t>
      </w:r>
      <w:bookmarkEnd w:id="231"/>
      <w:bookmarkEnd w:id="232"/>
      <w:bookmarkEnd w:id="233"/>
      <w:bookmarkEnd w:id="234"/>
      <w:bookmarkEnd w:id="235"/>
      <w:bookmarkEnd w:id="236"/>
    </w:p>
    <w:p>
      <w:pPr>
        <w:ind w:firstLine="640"/>
        <w:rPr>
          <w:rFonts w:cstheme="minorBidi"/>
          <w:color w:val="000000" w:themeColor="text1"/>
          <w:szCs w:val="32"/>
          <w14:textFill>
            <w14:solidFill>
              <w14:schemeClr w14:val="tx1"/>
            </w14:solidFill>
          </w14:textFill>
        </w:rPr>
      </w:pPr>
      <w:r>
        <w:rPr>
          <w:rFonts w:hint="eastAsia" w:cstheme="minorBidi"/>
          <w:color w:val="000000" w:themeColor="text1"/>
          <w:szCs w:val="32"/>
          <w14:textFill>
            <w14:solidFill>
              <w14:schemeClr w14:val="tx1"/>
            </w14:solidFill>
          </w14:textFill>
        </w:rPr>
        <w:t>各区县</w:t>
      </w:r>
      <w:r>
        <w:rPr>
          <w:rFonts w:hint="eastAsia" w:cstheme="minorBidi"/>
          <w:color w:val="000000" w:themeColor="text1"/>
          <w:szCs w:val="32"/>
          <w:lang w:eastAsia="zh-CN"/>
          <w14:textFill>
            <w14:solidFill>
              <w14:schemeClr w14:val="tx1"/>
            </w14:solidFill>
          </w14:textFill>
        </w:rPr>
        <w:t>、有关部门</w:t>
      </w:r>
      <w:r>
        <w:rPr>
          <w:rFonts w:hint="eastAsia" w:cstheme="minorBidi"/>
          <w:color w:val="000000" w:themeColor="text1"/>
          <w:szCs w:val="32"/>
          <w14:textFill>
            <w14:solidFill>
              <w14:schemeClr w14:val="tx1"/>
            </w14:solidFill>
          </w14:textFill>
        </w:rPr>
        <w:t>高度重视建筑业高质量发展工作，压实属地责任，组建专班，明确工作任务，及时研究建筑业发展形势，</w:t>
      </w:r>
      <w:r>
        <w:rPr>
          <w:rFonts w:hint="eastAsia" w:cstheme="minorBidi"/>
          <w:color w:val="000000" w:themeColor="text1"/>
          <w:szCs w:val="32"/>
          <w:lang w:eastAsia="zh-CN"/>
          <w14:textFill>
            <w14:solidFill>
              <w14:schemeClr w14:val="tx1"/>
            </w14:solidFill>
          </w14:textFill>
        </w:rPr>
        <w:t>强化建筑业运行调度，探索</w:t>
      </w:r>
      <w:r>
        <w:rPr>
          <w:rFonts w:hint="eastAsia" w:cstheme="minorBidi"/>
          <w:color w:val="000000" w:themeColor="text1"/>
          <w:szCs w:val="32"/>
          <w14:textFill>
            <w14:solidFill>
              <w14:schemeClr w14:val="tx1"/>
            </w14:solidFill>
          </w14:textFill>
        </w:rPr>
        <w:t>开展建筑业年度发展</w:t>
      </w:r>
      <w:r>
        <w:rPr>
          <w:rFonts w:hint="eastAsia" w:cstheme="minorBidi"/>
          <w:color w:val="000000" w:themeColor="text1"/>
          <w:szCs w:val="32"/>
          <w:lang w:eastAsia="zh-CN"/>
          <w14:textFill>
            <w14:solidFill>
              <w14:schemeClr w14:val="tx1"/>
            </w14:solidFill>
          </w14:textFill>
        </w:rPr>
        <w:t>研究评估</w:t>
      </w:r>
      <w:r>
        <w:rPr>
          <w:rFonts w:hint="eastAsia" w:cstheme="minorBidi"/>
          <w:color w:val="000000" w:themeColor="text1"/>
          <w:szCs w:val="32"/>
          <w14:textFill>
            <w14:solidFill>
              <w14:schemeClr w14:val="tx1"/>
            </w14:solidFill>
          </w14:textFill>
        </w:rPr>
        <w:t>。</w:t>
      </w:r>
    </w:p>
    <w:p>
      <w:pPr>
        <w:pStyle w:val="3"/>
        <w:ind w:firstLine="643"/>
        <w:rPr>
          <w:color w:val="000000" w:themeColor="text1"/>
          <w14:textFill>
            <w14:solidFill>
              <w14:schemeClr w14:val="tx1"/>
            </w14:solidFill>
          </w14:textFill>
        </w:rPr>
      </w:pPr>
      <w:bookmarkStart w:id="237" w:name="_Toc27728"/>
      <w:bookmarkStart w:id="238" w:name="_Toc2142"/>
      <w:bookmarkStart w:id="239" w:name="_Toc18636"/>
      <w:bookmarkStart w:id="240" w:name="_Toc65746624"/>
      <w:bookmarkStart w:id="241" w:name="_Toc66457162"/>
      <w:bookmarkStart w:id="242" w:name="_Toc91149533"/>
      <w:r>
        <w:rPr>
          <w:rFonts w:hint="eastAsia"/>
          <w:color w:val="000000" w:themeColor="text1"/>
          <w14:textFill>
            <w14:solidFill>
              <w14:schemeClr w14:val="tx1"/>
            </w14:solidFill>
          </w14:textFill>
        </w:rPr>
        <w:t>（二）</w:t>
      </w:r>
      <w:bookmarkEnd w:id="237"/>
      <w:bookmarkEnd w:id="238"/>
      <w:bookmarkEnd w:id="239"/>
      <w:bookmarkEnd w:id="240"/>
      <w:bookmarkEnd w:id="241"/>
      <w:r>
        <w:rPr>
          <w:rFonts w:hint="eastAsia"/>
          <w:color w:val="000000" w:themeColor="text1"/>
          <w14:textFill>
            <w14:solidFill>
              <w14:schemeClr w14:val="tx1"/>
            </w14:solidFill>
          </w14:textFill>
        </w:rPr>
        <w:t>强化制度保障</w:t>
      </w:r>
      <w:bookmarkEnd w:id="242"/>
    </w:p>
    <w:p>
      <w:pPr>
        <w:ind w:firstLine="640"/>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各区县</w:t>
      </w:r>
      <w:r>
        <w:rPr>
          <w:rFonts w:hint="eastAsia" w:cstheme="minorBidi"/>
          <w:color w:val="000000" w:themeColor="text1"/>
          <w:szCs w:val="32"/>
          <w:lang w:eastAsia="zh-CN"/>
          <w14:textFill>
            <w14:solidFill>
              <w14:schemeClr w14:val="tx1"/>
            </w14:solidFill>
          </w14:textFill>
        </w:rPr>
        <w:t>、有关部门</w:t>
      </w:r>
      <w:r>
        <w:rPr>
          <w:rFonts w:hint="eastAsia"/>
          <w:color w:val="000000" w:themeColor="text1"/>
          <w:szCs w:val="32"/>
          <w14:textFill>
            <w14:solidFill>
              <w14:schemeClr w14:val="tx1"/>
            </w14:solidFill>
          </w14:textFill>
        </w:rPr>
        <w:t>按照本规划，结合</w:t>
      </w:r>
      <w:r>
        <w:rPr>
          <w:rFonts w:hint="eastAsia"/>
          <w:color w:val="000000" w:themeColor="text1"/>
          <w:szCs w:val="32"/>
          <w:lang w:eastAsia="zh-CN"/>
          <w14:textFill>
            <w14:solidFill>
              <w14:schemeClr w14:val="tx1"/>
            </w14:solidFill>
          </w14:textFill>
        </w:rPr>
        <w:t>自身</w:t>
      </w:r>
      <w:r>
        <w:rPr>
          <w:rFonts w:hint="eastAsia"/>
          <w:color w:val="000000" w:themeColor="text1"/>
          <w:szCs w:val="32"/>
          <w14:textFill>
            <w14:solidFill>
              <w14:schemeClr w14:val="tx1"/>
            </w14:solidFill>
          </w14:textFill>
        </w:rPr>
        <w:t>实际，出台推动建筑业高质量发展相关配套政策措施，督促</w:t>
      </w:r>
      <w:r>
        <w:rPr>
          <w:rFonts w:hint="eastAsia"/>
          <w:color w:val="000000" w:themeColor="text1"/>
          <w:szCs w:val="32"/>
          <w:lang w:eastAsia="zh-CN"/>
          <w14:textFill>
            <w14:solidFill>
              <w14:schemeClr w14:val="tx1"/>
            </w14:solidFill>
          </w14:textFill>
        </w:rPr>
        <w:t>属地</w:t>
      </w:r>
      <w:r>
        <w:rPr>
          <w:rFonts w:hint="eastAsia"/>
          <w:color w:val="000000" w:themeColor="text1"/>
          <w:szCs w:val="32"/>
          <w14:textFill>
            <w14:solidFill>
              <w14:schemeClr w14:val="tx1"/>
            </w14:solidFill>
          </w14:textFill>
        </w:rPr>
        <w:t>住房城乡建设、科学技术、经济信息、人社等部门结合职能职责，协同推动政策落地、措施落实。</w:t>
      </w:r>
    </w:p>
    <w:p>
      <w:pPr>
        <w:pStyle w:val="3"/>
        <w:ind w:left="643" w:firstLine="0" w:firstLineChars="0"/>
        <w:rPr>
          <w:color w:val="000000" w:themeColor="text1"/>
          <w14:textFill>
            <w14:solidFill>
              <w14:schemeClr w14:val="tx1"/>
            </w14:solidFill>
          </w14:textFill>
        </w:rPr>
      </w:pPr>
      <w:bookmarkStart w:id="243" w:name="_Toc65746625"/>
      <w:bookmarkStart w:id="244" w:name="_Toc7173"/>
      <w:bookmarkStart w:id="245" w:name="_Toc28063"/>
      <w:bookmarkStart w:id="246" w:name="_Toc3142"/>
      <w:bookmarkStart w:id="247" w:name="_Toc66457163"/>
      <w:bookmarkStart w:id="248" w:name="_Toc91149534"/>
      <w:r>
        <w:rPr>
          <w:rFonts w:hint="eastAsia"/>
          <w:color w:val="000000" w:themeColor="text1"/>
          <w14:textFill>
            <w14:solidFill>
              <w14:schemeClr w14:val="tx1"/>
            </w14:solidFill>
          </w14:textFill>
        </w:rPr>
        <w:t>（三）</w:t>
      </w:r>
      <w:bookmarkEnd w:id="243"/>
      <w:bookmarkEnd w:id="244"/>
      <w:bookmarkEnd w:id="245"/>
      <w:bookmarkEnd w:id="246"/>
      <w:bookmarkEnd w:id="247"/>
      <w:r>
        <w:rPr>
          <w:rFonts w:hint="eastAsia"/>
          <w:color w:val="000000" w:themeColor="text1"/>
          <w14:textFill>
            <w14:solidFill>
              <w14:schemeClr w14:val="tx1"/>
            </w14:solidFill>
          </w14:textFill>
        </w:rPr>
        <w:t>强化科技创新</w:t>
      </w:r>
      <w:bookmarkEnd w:id="248"/>
    </w:p>
    <w:p>
      <w:pPr>
        <w:ind w:firstLine="640"/>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各区县</w:t>
      </w:r>
      <w:r>
        <w:rPr>
          <w:rFonts w:hint="eastAsia" w:cstheme="minorBidi"/>
          <w:color w:val="000000" w:themeColor="text1"/>
          <w:szCs w:val="32"/>
          <w:lang w:eastAsia="zh-CN"/>
          <w14:textFill>
            <w14:solidFill>
              <w14:schemeClr w14:val="tx1"/>
            </w14:solidFill>
          </w14:textFill>
        </w:rPr>
        <w:t>、有关部门</w:t>
      </w:r>
      <w:r>
        <w:rPr>
          <w:rFonts w:hint="eastAsia"/>
          <w:color w:val="000000" w:themeColor="text1"/>
          <w:szCs w:val="32"/>
          <w14:textFill>
            <w14:solidFill>
              <w14:schemeClr w14:val="tx1"/>
            </w14:solidFill>
          </w14:textFill>
        </w:rPr>
        <w:t>加大对智能建造关键技术研究、基础软硬件开发、智能系统和设备研制、项目应用示范等支持力度，制定推进建设领域科技成果转化的政策措施，推动科技创新成果的广泛应用。</w:t>
      </w:r>
    </w:p>
    <w:p>
      <w:pPr>
        <w:pStyle w:val="3"/>
        <w:ind w:firstLine="643"/>
        <w:rPr>
          <w:color w:val="000000" w:themeColor="text1"/>
          <w14:textFill>
            <w14:solidFill>
              <w14:schemeClr w14:val="tx1"/>
            </w14:solidFill>
          </w14:textFill>
        </w:rPr>
      </w:pPr>
      <w:bookmarkStart w:id="249" w:name="_Toc66457164"/>
      <w:bookmarkStart w:id="250" w:name="_Toc2173"/>
      <w:bookmarkStart w:id="251" w:name="_Toc65746626"/>
      <w:bookmarkStart w:id="252" w:name="_Toc26625"/>
      <w:bookmarkStart w:id="253" w:name="_Toc31225"/>
      <w:bookmarkStart w:id="254" w:name="_Toc91149535"/>
      <w:r>
        <w:rPr>
          <w:rFonts w:hint="eastAsia"/>
          <w:color w:val="000000" w:themeColor="text1"/>
          <w14:textFill>
            <w14:solidFill>
              <w14:schemeClr w14:val="tx1"/>
            </w14:solidFill>
          </w14:textFill>
        </w:rPr>
        <w:t>（四）强化</w:t>
      </w:r>
      <w:bookmarkEnd w:id="249"/>
      <w:bookmarkEnd w:id="250"/>
      <w:bookmarkEnd w:id="251"/>
      <w:bookmarkEnd w:id="252"/>
      <w:bookmarkEnd w:id="253"/>
      <w:r>
        <w:rPr>
          <w:rFonts w:hint="eastAsia"/>
          <w:color w:val="000000" w:themeColor="text1"/>
          <w14:textFill>
            <w14:solidFill>
              <w14:schemeClr w14:val="tx1"/>
            </w14:solidFill>
          </w14:textFill>
        </w:rPr>
        <w:t>帮扶激励</w:t>
      </w:r>
      <w:bookmarkEnd w:id="254"/>
    </w:p>
    <w:p>
      <w:pPr>
        <w:ind w:firstLine="640"/>
        <w:rPr>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各区县大力扶持企业资质升级，对晋升特级资质企业，获得国家级奖项以及产值、纳税达到一定数额的本地企业，</w:t>
      </w:r>
      <w:r>
        <w:rPr>
          <w:rFonts w:hint="eastAsia"/>
          <w:color w:val="000000" w:themeColor="text1"/>
          <w:szCs w:val="32"/>
          <w:lang w:eastAsia="zh-CN"/>
          <w14:textFill>
            <w14:solidFill>
              <w14:schemeClr w14:val="tx1"/>
            </w14:solidFill>
          </w14:textFill>
        </w:rPr>
        <w:t>鼓励</w:t>
      </w:r>
      <w:r>
        <w:rPr>
          <w:rFonts w:hint="eastAsia"/>
          <w:color w:val="000000" w:themeColor="text1"/>
          <w:szCs w:val="32"/>
          <w14:textFill>
            <w14:solidFill>
              <w14:schemeClr w14:val="tx1"/>
            </w14:solidFill>
          </w14:textFill>
        </w:rPr>
        <w:t>由财政给予奖励。切实加强政策引导，鼓励本地企业“走出去”，将外地优质企业“引进来”。</w:t>
      </w:r>
    </w:p>
    <w:p>
      <w:pPr>
        <w:pStyle w:val="3"/>
        <w:ind w:firstLine="643"/>
        <w:rPr>
          <w:color w:val="000000" w:themeColor="text1"/>
          <w14:textFill>
            <w14:solidFill>
              <w14:schemeClr w14:val="tx1"/>
            </w14:solidFill>
          </w14:textFill>
        </w:rPr>
      </w:pPr>
      <w:bookmarkStart w:id="255" w:name="_Toc7234"/>
      <w:bookmarkStart w:id="256" w:name="_Toc7601"/>
      <w:bookmarkStart w:id="257" w:name="_Toc65746627"/>
      <w:bookmarkStart w:id="258" w:name="_Toc66457165"/>
      <w:bookmarkStart w:id="259" w:name="_Toc28493"/>
      <w:bookmarkStart w:id="260" w:name="_Toc91149536"/>
      <w:r>
        <w:rPr>
          <w:rFonts w:hint="eastAsia"/>
          <w:color w:val="000000" w:themeColor="text1"/>
          <w14:textFill>
            <w14:solidFill>
              <w14:schemeClr w14:val="tx1"/>
            </w14:solidFill>
          </w14:textFill>
        </w:rPr>
        <w:t>（五）</w:t>
      </w:r>
      <w:bookmarkEnd w:id="255"/>
      <w:bookmarkEnd w:id="256"/>
      <w:bookmarkEnd w:id="257"/>
      <w:bookmarkEnd w:id="258"/>
      <w:bookmarkEnd w:id="259"/>
      <w:r>
        <w:rPr>
          <w:rFonts w:hint="eastAsia"/>
          <w:color w:val="000000" w:themeColor="text1"/>
          <w14:textFill>
            <w14:solidFill>
              <w14:schemeClr w14:val="tx1"/>
            </w14:solidFill>
          </w14:textFill>
        </w:rPr>
        <w:t>强化对外合作</w:t>
      </w:r>
      <w:bookmarkEnd w:id="260"/>
    </w:p>
    <w:p>
      <w:pPr>
        <w:ind w:firstLine="640"/>
        <w:rPr>
          <w:rFonts w:hint="eastAsia"/>
          <w:color w:val="000000" w:themeColor="text1"/>
          <w:szCs w:val="32"/>
          <w14:textFill>
            <w14:solidFill>
              <w14:schemeClr w14:val="tx1"/>
            </w14:solidFill>
          </w14:textFill>
        </w:rPr>
      </w:pPr>
      <w:r>
        <w:rPr>
          <w:rFonts w:hint="eastAsia"/>
          <w:color w:val="000000" w:themeColor="text1"/>
          <w:szCs w:val="32"/>
          <w14:textFill>
            <w14:solidFill>
              <w14:schemeClr w14:val="tx1"/>
            </w14:solidFill>
          </w14:textFill>
        </w:rPr>
        <w:t>持续加强国内外交流合作，依托“智博会”、“川渝住博会”等大型展会活动，建立国内外建造交流合作机制。开展“一带一路”沿线国家建筑市场调研，为我市企业拓展海外业务、参与国际合作等提供服务和支撑。</w:t>
      </w:r>
    </w:p>
    <w:sectPr>
      <w:footerReference r:id="rId7" w:type="default"/>
      <w:pgSz w:w="11906" w:h="16838"/>
      <w:pgMar w:top="1418" w:right="1418" w:bottom="1418" w:left="1418" w:header="851" w:footer="992" w:gutter="0"/>
      <w:pgNumType w:start="1"/>
      <w:cols w:space="720"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5354235-7566-45B6-A198-A6BE34E6615B}"/>
  </w:font>
  <w:font w:name="Arial">
    <w:panose1 w:val="020B0604020202020204"/>
    <w:charset w:val="01"/>
    <w:family w:val="swiss"/>
    <w:pitch w:val="default"/>
    <w:sig w:usb0="E0002AFF" w:usb1="C0007843" w:usb2="00000009" w:usb3="00000000" w:csb0="400001FF" w:csb1="FFFF0000"/>
    <w:embedRegular r:id="rId2" w:fontKey="{F952DC16-BF5E-46EB-91BB-C7AF3A8A73B6}"/>
  </w:font>
  <w:font w:name="黑体">
    <w:panose1 w:val="02010609060101010101"/>
    <w:charset w:val="86"/>
    <w:family w:val="auto"/>
    <w:pitch w:val="default"/>
    <w:sig w:usb0="800002BF" w:usb1="38CF7CFA" w:usb2="00000016" w:usb3="00000000" w:csb0="00040001" w:csb1="00000000"/>
    <w:embedRegular r:id="rId3" w:fontKey="{88A1B355-126B-4093-8F15-C1B761831EE4}"/>
  </w:font>
  <w:font w:name="Courier New">
    <w:panose1 w:val="02070309020205020404"/>
    <w:charset w:val="01"/>
    <w:family w:val="modern"/>
    <w:pitch w:val="default"/>
    <w:sig w:usb0="E0002AFF" w:usb1="C0007843" w:usb2="00000009" w:usb3="00000000" w:csb0="400001FF" w:csb1="FFFF0000"/>
    <w:embedRegular r:id="rId4" w:fontKey="{F7B58D3B-59BB-4F7A-A813-676AE2FD40FC}"/>
  </w:font>
  <w:font w:name="Symbol">
    <w:panose1 w:val="05050102010706020507"/>
    <w:charset w:val="02"/>
    <w:family w:val="roman"/>
    <w:pitch w:val="default"/>
    <w:sig w:usb0="00000000" w:usb1="00000000" w:usb2="00000000" w:usb3="00000000" w:csb0="80000000" w:csb1="00000000"/>
    <w:embedRegular r:id="rId5" w:fontKey="{DD137797-A6EB-4C70-8826-4A246B83D8A0}"/>
  </w:font>
  <w:font w:name="Calibri">
    <w:panose1 w:val="020F0502020204030204"/>
    <w:charset w:val="00"/>
    <w:family w:val="swiss"/>
    <w:pitch w:val="default"/>
    <w:sig w:usb0="E00002FF" w:usb1="4000ACFF" w:usb2="00000001" w:usb3="00000000" w:csb0="2000019F" w:csb1="00000000"/>
    <w:embedRegular r:id="rId6" w:fontKey="{2A181964-894D-4F58-8979-DDB2C0D54F4F}"/>
  </w:font>
  <w:font w:name="方正仿宋_GBK">
    <w:panose1 w:val="03000509000000000000"/>
    <w:charset w:val="86"/>
    <w:family w:val="script"/>
    <w:pitch w:val="default"/>
    <w:sig w:usb0="00000001" w:usb1="080E0000" w:usb2="00000000" w:usb3="00000000" w:csb0="00040000" w:csb1="00000000"/>
    <w:embedRegular r:id="rId7" w:fontKey="{B807F1A8-ABC9-4DE2-ADBF-34F59E5A69CF}"/>
  </w:font>
  <w:font w:name="方正楷体_GBK">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embedRegular r:id="rId8" w:fontKey="{B5972177-6C79-41ED-9DD7-08D5F50FEE95}"/>
  </w:font>
  <w:font w:name="方正小标宋_GBK">
    <w:panose1 w:val="03000509000000000000"/>
    <w:charset w:val="86"/>
    <w:family w:val="script"/>
    <w:pitch w:val="default"/>
    <w:sig w:usb0="00000001" w:usb1="080E0000" w:usb2="00000000" w:usb3="00000000" w:csb0="00040000" w:csb1="00000000"/>
    <w:embedRegular r:id="rId9" w:fontKey="{EB03AA10-2072-45C2-BCD8-A9546C1571BF}"/>
  </w:font>
  <w:font w:name="Consolas">
    <w:panose1 w:val="020B0609020204030204"/>
    <w:charset w:val="00"/>
    <w:family w:val="modern"/>
    <w:pitch w:val="default"/>
    <w:sig w:usb0="E10002FF" w:usb1="4000FCFF" w:usb2="00000009" w:usb3="00000000" w:csb0="6000019F" w:csb1="DFD70000"/>
    <w:embedRegular r:id="rId10" w:fontKey="{F2C270C4-B731-44FC-9A49-94418721EFC8}"/>
  </w:font>
  <w:font w:name="方正黑体_GBK">
    <w:panose1 w:val="03000509000000000000"/>
    <w:charset w:val="86"/>
    <w:family w:val="script"/>
    <w:pitch w:val="default"/>
    <w:sig w:usb0="00000001" w:usb1="080E0000" w:usb2="00000000" w:usb3="00000000" w:csb0="00040000" w:csb1="00000000"/>
    <w:embedRegular r:id="rId11" w:fontKey="{47F18C6B-5C9B-45AD-AFCA-25C131E52C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4527986"/>
      <w:docPartObj>
        <w:docPartGallery w:val="autotext"/>
      </w:docPartObj>
    </w:sdtPr>
    <w:sdtContent>
      <w:p>
        <w:pPr>
          <w:pStyle w:val="9"/>
          <w:ind w:firstLine="360"/>
          <w:jc w:val="center"/>
        </w:pPr>
        <w:r>
          <w:fldChar w:fldCharType="begin"/>
        </w:r>
        <w:r>
          <w:instrText xml:space="preserve">PAGE   \* MERGEFORMAT</w:instrText>
        </w:r>
        <w:r>
          <w:fldChar w:fldCharType="separate"/>
        </w:r>
        <w:r>
          <w:rPr>
            <w:lang w:val="zh-CN"/>
          </w:rPr>
          <w:t>2</w:t>
        </w:r>
        <w:r>
          <w:fldChar w:fldCharType="end"/>
        </w:r>
      </w:p>
    </w:sdtContent>
  </w:sdt>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none" w:color="auto" w:sz="0" w:space="1"/>
        <w:left w:val="none" w:color="auto" w:sz="0" w:space="4"/>
        <w:bottom w:val="none" w:color="auto" w:sz="0" w:space="1"/>
        <w:right w:val="none" w:color="auto" w:sz="0" w:space="4"/>
      </w:pBdr>
      <w:tabs>
        <w:tab w:val="left" w:pos="6007"/>
      </w:tabs>
      <w:ind w:firstLine="360"/>
      <w:jc w:val="left"/>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FE7155"/>
    <w:multiLevelType w:val="singleLevel"/>
    <w:tmpl w:val="09FE7155"/>
    <w:lvl w:ilvl="0" w:tentative="0">
      <w:start w:val="4"/>
      <w:numFmt w:val="decimal"/>
      <w:suff w:val="space"/>
      <w:lvlText w:val="%1."/>
      <w:lvlJc w:val="left"/>
    </w:lvl>
  </w:abstractNum>
  <w:abstractNum w:abstractNumId="1">
    <w:nsid w:val="1DA15CDE"/>
    <w:multiLevelType w:val="multilevel"/>
    <w:tmpl w:val="1DA15CDE"/>
    <w:lvl w:ilvl="0" w:tentative="0">
      <w:start w:val="1"/>
      <w:numFmt w:val="decimal"/>
      <w:lvlText w:val="%1．"/>
      <w:lvlJc w:val="left"/>
      <w:pPr>
        <w:ind w:left="1060" w:hanging="420"/>
      </w:pPr>
      <w:rPr>
        <w:rFonts w:hint="eastAsia"/>
      </w:rPr>
    </w:lvl>
    <w:lvl w:ilvl="1" w:tentative="0">
      <w:start w:val="1"/>
      <w:numFmt w:val="decimal"/>
      <w:pStyle w:val="33"/>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27D97969"/>
    <w:multiLevelType w:val="multilevel"/>
    <w:tmpl w:val="27D97969"/>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DDD324E"/>
    <w:multiLevelType w:val="multilevel"/>
    <w:tmpl w:val="2DDD324E"/>
    <w:lvl w:ilvl="0" w:tentative="0">
      <w:start w:val="1"/>
      <w:numFmt w:val="chineseCountingThousand"/>
      <w:pStyle w:val="30"/>
      <w:suff w:val="nothing"/>
      <w:lvlText w:val="%1、"/>
      <w:lvlJc w:val="left"/>
      <w:pPr>
        <w:ind w:left="0" w:firstLine="641"/>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1" w:tentative="0">
      <w:start w:val="1"/>
      <w:numFmt w:val="chineseCountingThousand"/>
      <w:pStyle w:val="31"/>
      <w:suff w:val="nothing"/>
      <w:lvlText w:val="（%2）"/>
      <w:lvlJc w:val="left"/>
      <w:pPr>
        <w:ind w:left="0" w:firstLine="641"/>
      </w:pPr>
      <w:rPr>
        <w:rFonts w:hint="default" w:ascii="Times New Roman" w:hAnsi="Times New Roman" w:eastAsia="方正楷体_GBK" w:cs="Times New Roman"/>
        <w:b/>
        <w:bCs w:val="0"/>
        <w:i w:val="0"/>
        <w:iCs w:val="0"/>
        <w:caps w:val="0"/>
        <w:smallCaps w:val="0"/>
        <w:strike w:val="0"/>
        <w:dstrike w:val="0"/>
        <w:snapToGrid w:val="0"/>
        <w:vanish w:val="0"/>
        <w:color w:val="000000"/>
        <w:spacing w:val="0"/>
        <w:w w:val="0"/>
        <w:kern w:val="0"/>
        <w:position w:val="0"/>
        <w:sz w:val="32"/>
        <w:szCs w:val="0"/>
        <w:u w:val="none"/>
        <w:vertAlign w:val="baseline"/>
      </w:rPr>
    </w:lvl>
    <w:lvl w:ilvl="2" w:tentative="0">
      <w:start w:val="1"/>
      <w:numFmt w:val="decimal"/>
      <w:pStyle w:val="32"/>
      <w:suff w:val="nothing"/>
      <w:lvlText w:val="%3．"/>
      <w:lvlJc w:val="left"/>
      <w:pPr>
        <w:ind w:left="0" w:firstLine="641"/>
      </w:pPr>
      <w:rPr>
        <w:rFonts w:hint="default" w:ascii="Times New Roman" w:hAnsi="Times New Roman" w:eastAsia="方正仿宋_GBK"/>
        <w:b/>
        <w:i w:val="0"/>
        <w:sz w:val="32"/>
      </w:rPr>
    </w:lvl>
    <w:lvl w:ilvl="3" w:tentative="0">
      <w:start w:val="1"/>
      <w:numFmt w:val="decimal"/>
      <w:suff w:val="nothing"/>
      <w:lvlText w:val="%4."/>
      <w:lvlJc w:val="left"/>
      <w:pPr>
        <w:ind w:left="0" w:firstLine="641"/>
      </w:pPr>
      <w:rPr>
        <w:rFonts w:hint="eastAsia"/>
      </w:rPr>
    </w:lvl>
    <w:lvl w:ilvl="4" w:tentative="0">
      <w:start w:val="1"/>
      <w:numFmt w:val="lowerLetter"/>
      <w:lvlText w:val="%5)"/>
      <w:lvlJc w:val="left"/>
      <w:pPr>
        <w:tabs>
          <w:tab w:val="left" w:pos="1134"/>
        </w:tabs>
        <w:ind w:left="0" w:firstLine="641"/>
      </w:pPr>
      <w:rPr>
        <w:rFonts w:hint="eastAsia"/>
      </w:rPr>
    </w:lvl>
    <w:lvl w:ilvl="5" w:tentative="0">
      <w:start w:val="1"/>
      <w:numFmt w:val="lowerRoman"/>
      <w:lvlText w:val="%6."/>
      <w:lvlJc w:val="right"/>
      <w:pPr>
        <w:tabs>
          <w:tab w:val="left" w:pos="1134"/>
        </w:tabs>
        <w:ind w:left="0" w:firstLine="641"/>
      </w:pPr>
      <w:rPr>
        <w:rFonts w:hint="eastAsia"/>
      </w:rPr>
    </w:lvl>
    <w:lvl w:ilvl="6" w:tentative="0">
      <w:start w:val="1"/>
      <w:numFmt w:val="decimal"/>
      <w:lvlText w:val="%7."/>
      <w:lvlJc w:val="left"/>
      <w:pPr>
        <w:tabs>
          <w:tab w:val="left" w:pos="1134"/>
        </w:tabs>
        <w:ind w:left="0" w:firstLine="641"/>
      </w:pPr>
      <w:rPr>
        <w:rFonts w:hint="eastAsia"/>
      </w:rPr>
    </w:lvl>
    <w:lvl w:ilvl="7" w:tentative="0">
      <w:start w:val="1"/>
      <w:numFmt w:val="lowerLetter"/>
      <w:lvlText w:val="%8)"/>
      <w:lvlJc w:val="left"/>
      <w:pPr>
        <w:tabs>
          <w:tab w:val="left" w:pos="1134"/>
        </w:tabs>
        <w:ind w:left="0" w:firstLine="641"/>
      </w:pPr>
      <w:rPr>
        <w:rFonts w:hint="eastAsia"/>
      </w:rPr>
    </w:lvl>
    <w:lvl w:ilvl="8" w:tentative="0">
      <w:start w:val="1"/>
      <w:numFmt w:val="lowerRoman"/>
      <w:lvlText w:val="%9."/>
      <w:lvlJc w:val="right"/>
      <w:pPr>
        <w:tabs>
          <w:tab w:val="left" w:pos="1134"/>
        </w:tabs>
        <w:ind w:left="0" w:firstLine="641"/>
      </w:pPr>
      <w:rPr>
        <w:rFonts w:hint="eastAsia"/>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1600"/>
  <w:drawingGridHorizontalSpacing w:val="160"/>
  <w:drawingGridVerticalSpacing w:val="435"/>
  <w:displayHorizontalDrawingGridEvery w:val="0"/>
  <w:displayVerticalDrawingGridEvery w:val="2"/>
  <w:characterSpacingControl w:val="compressPunctuation"/>
  <w:noLineBreaksAfter w:lang="zh-CN" w:val="([{·‘“〈《「『【〔〖（．［｛￡￥"/>
  <w:noLineBreaksBefore w:lang="zh-CN" w:val="!),.:;?]}¨·ˇˉ―‖’”…∶、。〃々〉》」』】〕〗！＂＇），．：；？］｀｜｝～￠"/>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09F"/>
    <w:rsid w:val="000043BE"/>
    <w:rsid w:val="00004921"/>
    <w:rsid w:val="00005711"/>
    <w:rsid w:val="00007110"/>
    <w:rsid w:val="00013272"/>
    <w:rsid w:val="00013533"/>
    <w:rsid w:val="000152A0"/>
    <w:rsid w:val="00016154"/>
    <w:rsid w:val="00016A1C"/>
    <w:rsid w:val="00017A64"/>
    <w:rsid w:val="0002289A"/>
    <w:rsid w:val="000237B2"/>
    <w:rsid w:val="000277C6"/>
    <w:rsid w:val="00027A49"/>
    <w:rsid w:val="00030598"/>
    <w:rsid w:val="000356C9"/>
    <w:rsid w:val="000360E6"/>
    <w:rsid w:val="000368B3"/>
    <w:rsid w:val="00045AB5"/>
    <w:rsid w:val="000468DA"/>
    <w:rsid w:val="00046D37"/>
    <w:rsid w:val="00052A18"/>
    <w:rsid w:val="00057070"/>
    <w:rsid w:val="000577EC"/>
    <w:rsid w:val="00057CBA"/>
    <w:rsid w:val="00063E35"/>
    <w:rsid w:val="0006468C"/>
    <w:rsid w:val="000653FE"/>
    <w:rsid w:val="00070FE1"/>
    <w:rsid w:val="00074B83"/>
    <w:rsid w:val="00075A2D"/>
    <w:rsid w:val="0007726A"/>
    <w:rsid w:val="00084BE8"/>
    <w:rsid w:val="000933C1"/>
    <w:rsid w:val="000954B7"/>
    <w:rsid w:val="00096ECB"/>
    <w:rsid w:val="000A550E"/>
    <w:rsid w:val="000A6FC8"/>
    <w:rsid w:val="000B6C33"/>
    <w:rsid w:val="000B7C44"/>
    <w:rsid w:val="000B7F92"/>
    <w:rsid w:val="000C30C8"/>
    <w:rsid w:val="000C3807"/>
    <w:rsid w:val="000C4016"/>
    <w:rsid w:val="000C71D0"/>
    <w:rsid w:val="000D1ED4"/>
    <w:rsid w:val="000D2A85"/>
    <w:rsid w:val="000D2EB1"/>
    <w:rsid w:val="000D524C"/>
    <w:rsid w:val="000D5814"/>
    <w:rsid w:val="000D5EFA"/>
    <w:rsid w:val="000D7120"/>
    <w:rsid w:val="000E2308"/>
    <w:rsid w:val="000E363A"/>
    <w:rsid w:val="000E48C6"/>
    <w:rsid w:val="000E59C7"/>
    <w:rsid w:val="000F071E"/>
    <w:rsid w:val="000F366C"/>
    <w:rsid w:val="000F3E6A"/>
    <w:rsid w:val="000F433D"/>
    <w:rsid w:val="000F46CA"/>
    <w:rsid w:val="001006F9"/>
    <w:rsid w:val="0010074E"/>
    <w:rsid w:val="00103E0D"/>
    <w:rsid w:val="001132B7"/>
    <w:rsid w:val="0011561B"/>
    <w:rsid w:val="00122AB4"/>
    <w:rsid w:val="001235CA"/>
    <w:rsid w:val="0012384D"/>
    <w:rsid w:val="00123B59"/>
    <w:rsid w:val="0012463F"/>
    <w:rsid w:val="00127ABF"/>
    <w:rsid w:val="00130BC2"/>
    <w:rsid w:val="00131952"/>
    <w:rsid w:val="001324C2"/>
    <w:rsid w:val="00132A93"/>
    <w:rsid w:val="00142B98"/>
    <w:rsid w:val="00143187"/>
    <w:rsid w:val="001513E3"/>
    <w:rsid w:val="00153508"/>
    <w:rsid w:val="001540FE"/>
    <w:rsid w:val="00157BF0"/>
    <w:rsid w:val="001614F5"/>
    <w:rsid w:val="001626C5"/>
    <w:rsid w:val="00163322"/>
    <w:rsid w:val="0016590B"/>
    <w:rsid w:val="00166693"/>
    <w:rsid w:val="00170874"/>
    <w:rsid w:val="00170F81"/>
    <w:rsid w:val="00173408"/>
    <w:rsid w:val="001748A4"/>
    <w:rsid w:val="001806BC"/>
    <w:rsid w:val="00181FD7"/>
    <w:rsid w:val="00184C4B"/>
    <w:rsid w:val="00193E4B"/>
    <w:rsid w:val="001959BF"/>
    <w:rsid w:val="001967AF"/>
    <w:rsid w:val="00197008"/>
    <w:rsid w:val="0019716E"/>
    <w:rsid w:val="001A2040"/>
    <w:rsid w:val="001A418A"/>
    <w:rsid w:val="001A7F58"/>
    <w:rsid w:val="001B2F38"/>
    <w:rsid w:val="001B377B"/>
    <w:rsid w:val="001B388B"/>
    <w:rsid w:val="001B3997"/>
    <w:rsid w:val="001B462D"/>
    <w:rsid w:val="001B549B"/>
    <w:rsid w:val="001B564B"/>
    <w:rsid w:val="001B7005"/>
    <w:rsid w:val="001C00FF"/>
    <w:rsid w:val="001C56D4"/>
    <w:rsid w:val="001D10B0"/>
    <w:rsid w:val="001E130A"/>
    <w:rsid w:val="001E4C19"/>
    <w:rsid w:val="001E5ED2"/>
    <w:rsid w:val="001F069A"/>
    <w:rsid w:val="001F0CB7"/>
    <w:rsid w:val="001F24F3"/>
    <w:rsid w:val="001F3D72"/>
    <w:rsid w:val="0020114F"/>
    <w:rsid w:val="00203474"/>
    <w:rsid w:val="002034AB"/>
    <w:rsid w:val="0020634F"/>
    <w:rsid w:val="00206A94"/>
    <w:rsid w:val="00206AE7"/>
    <w:rsid w:val="00207663"/>
    <w:rsid w:val="00210222"/>
    <w:rsid w:val="00210CD5"/>
    <w:rsid w:val="00211331"/>
    <w:rsid w:val="00211A52"/>
    <w:rsid w:val="002129F1"/>
    <w:rsid w:val="0021339C"/>
    <w:rsid w:val="00216A35"/>
    <w:rsid w:val="00220388"/>
    <w:rsid w:val="00220D5C"/>
    <w:rsid w:val="00224BFF"/>
    <w:rsid w:val="00225B8B"/>
    <w:rsid w:val="002344BF"/>
    <w:rsid w:val="0023762B"/>
    <w:rsid w:val="002400B6"/>
    <w:rsid w:val="00241C8F"/>
    <w:rsid w:val="00242399"/>
    <w:rsid w:val="00242A31"/>
    <w:rsid w:val="00243AA4"/>
    <w:rsid w:val="002453C7"/>
    <w:rsid w:val="002472C7"/>
    <w:rsid w:val="00251024"/>
    <w:rsid w:val="0025445B"/>
    <w:rsid w:val="002558B1"/>
    <w:rsid w:val="00257FF4"/>
    <w:rsid w:val="002609F7"/>
    <w:rsid w:val="002613BF"/>
    <w:rsid w:val="0026140F"/>
    <w:rsid w:val="00264FCB"/>
    <w:rsid w:val="002660AF"/>
    <w:rsid w:val="00267884"/>
    <w:rsid w:val="00270AED"/>
    <w:rsid w:val="0028164D"/>
    <w:rsid w:val="002823E7"/>
    <w:rsid w:val="00282D1A"/>
    <w:rsid w:val="00285E49"/>
    <w:rsid w:val="0029305A"/>
    <w:rsid w:val="002947B1"/>
    <w:rsid w:val="002A05ED"/>
    <w:rsid w:val="002A2402"/>
    <w:rsid w:val="002A26D2"/>
    <w:rsid w:val="002A3620"/>
    <w:rsid w:val="002B0353"/>
    <w:rsid w:val="002B0BF4"/>
    <w:rsid w:val="002B0C72"/>
    <w:rsid w:val="002B12CC"/>
    <w:rsid w:val="002B2038"/>
    <w:rsid w:val="002B2D66"/>
    <w:rsid w:val="002B3D83"/>
    <w:rsid w:val="002B5822"/>
    <w:rsid w:val="002C1780"/>
    <w:rsid w:val="002C2214"/>
    <w:rsid w:val="002C36CF"/>
    <w:rsid w:val="002C3873"/>
    <w:rsid w:val="002C48B1"/>
    <w:rsid w:val="002C61F7"/>
    <w:rsid w:val="002D0131"/>
    <w:rsid w:val="002D114E"/>
    <w:rsid w:val="002D22BF"/>
    <w:rsid w:val="002D2380"/>
    <w:rsid w:val="002D324E"/>
    <w:rsid w:val="002D40CD"/>
    <w:rsid w:val="002D54CD"/>
    <w:rsid w:val="002D735F"/>
    <w:rsid w:val="002E0399"/>
    <w:rsid w:val="002E296D"/>
    <w:rsid w:val="002E3A5F"/>
    <w:rsid w:val="002F76B8"/>
    <w:rsid w:val="00300622"/>
    <w:rsid w:val="003026EE"/>
    <w:rsid w:val="0030507D"/>
    <w:rsid w:val="0030691F"/>
    <w:rsid w:val="00315DD4"/>
    <w:rsid w:val="00317125"/>
    <w:rsid w:val="00321F67"/>
    <w:rsid w:val="0032355E"/>
    <w:rsid w:val="003245F3"/>
    <w:rsid w:val="00325CB2"/>
    <w:rsid w:val="0032721C"/>
    <w:rsid w:val="00327ACB"/>
    <w:rsid w:val="0033111A"/>
    <w:rsid w:val="0033114B"/>
    <w:rsid w:val="00335A4B"/>
    <w:rsid w:val="0033752F"/>
    <w:rsid w:val="003406C0"/>
    <w:rsid w:val="00340B8C"/>
    <w:rsid w:val="0034157F"/>
    <w:rsid w:val="00345525"/>
    <w:rsid w:val="00353950"/>
    <w:rsid w:val="00356B8E"/>
    <w:rsid w:val="00357DE7"/>
    <w:rsid w:val="00360607"/>
    <w:rsid w:val="00360661"/>
    <w:rsid w:val="00361BF5"/>
    <w:rsid w:val="00364322"/>
    <w:rsid w:val="0037156E"/>
    <w:rsid w:val="003739DA"/>
    <w:rsid w:val="00374751"/>
    <w:rsid w:val="00375332"/>
    <w:rsid w:val="00375BDB"/>
    <w:rsid w:val="00382622"/>
    <w:rsid w:val="00384D8E"/>
    <w:rsid w:val="003877F1"/>
    <w:rsid w:val="00392A62"/>
    <w:rsid w:val="00396B9D"/>
    <w:rsid w:val="003A002D"/>
    <w:rsid w:val="003A0861"/>
    <w:rsid w:val="003A30A6"/>
    <w:rsid w:val="003B21F1"/>
    <w:rsid w:val="003B30E1"/>
    <w:rsid w:val="003C449A"/>
    <w:rsid w:val="003C55A6"/>
    <w:rsid w:val="003D6AFF"/>
    <w:rsid w:val="003D7A75"/>
    <w:rsid w:val="003E0D63"/>
    <w:rsid w:val="003E0FA5"/>
    <w:rsid w:val="003E1E99"/>
    <w:rsid w:val="003E2317"/>
    <w:rsid w:val="003E2CAA"/>
    <w:rsid w:val="003E4979"/>
    <w:rsid w:val="003E49D9"/>
    <w:rsid w:val="003E779E"/>
    <w:rsid w:val="003F1E97"/>
    <w:rsid w:val="003F3E00"/>
    <w:rsid w:val="003F3FE4"/>
    <w:rsid w:val="003F4DBA"/>
    <w:rsid w:val="003F6846"/>
    <w:rsid w:val="00400D31"/>
    <w:rsid w:val="004015D0"/>
    <w:rsid w:val="004021F5"/>
    <w:rsid w:val="004035D5"/>
    <w:rsid w:val="004036AE"/>
    <w:rsid w:val="00410E74"/>
    <w:rsid w:val="004114CD"/>
    <w:rsid w:val="00413C37"/>
    <w:rsid w:val="004148F0"/>
    <w:rsid w:val="00416927"/>
    <w:rsid w:val="00421B20"/>
    <w:rsid w:val="0042327E"/>
    <w:rsid w:val="00424B22"/>
    <w:rsid w:val="004255AF"/>
    <w:rsid w:val="004264B1"/>
    <w:rsid w:val="0042770B"/>
    <w:rsid w:val="004348BD"/>
    <w:rsid w:val="00436349"/>
    <w:rsid w:val="00441A1A"/>
    <w:rsid w:val="004430E9"/>
    <w:rsid w:val="00444785"/>
    <w:rsid w:val="00447368"/>
    <w:rsid w:val="0045088B"/>
    <w:rsid w:val="004558E1"/>
    <w:rsid w:val="00473E26"/>
    <w:rsid w:val="004742DA"/>
    <w:rsid w:val="0047513C"/>
    <w:rsid w:val="004773D2"/>
    <w:rsid w:val="004808EB"/>
    <w:rsid w:val="00482510"/>
    <w:rsid w:val="00482DA2"/>
    <w:rsid w:val="00485E60"/>
    <w:rsid w:val="00490101"/>
    <w:rsid w:val="0049010E"/>
    <w:rsid w:val="004925D9"/>
    <w:rsid w:val="00492F64"/>
    <w:rsid w:val="004932BB"/>
    <w:rsid w:val="00494EC0"/>
    <w:rsid w:val="004957EE"/>
    <w:rsid w:val="00496850"/>
    <w:rsid w:val="00496BF3"/>
    <w:rsid w:val="004A0120"/>
    <w:rsid w:val="004A09A9"/>
    <w:rsid w:val="004A10B7"/>
    <w:rsid w:val="004A2108"/>
    <w:rsid w:val="004A26FC"/>
    <w:rsid w:val="004A35FD"/>
    <w:rsid w:val="004A55F7"/>
    <w:rsid w:val="004B0579"/>
    <w:rsid w:val="004B2125"/>
    <w:rsid w:val="004B2912"/>
    <w:rsid w:val="004B3A73"/>
    <w:rsid w:val="004C0772"/>
    <w:rsid w:val="004C1D19"/>
    <w:rsid w:val="004C55E7"/>
    <w:rsid w:val="004D0587"/>
    <w:rsid w:val="004D3554"/>
    <w:rsid w:val="004D44E4"/>
    <w:rsid w:val="004D6E76"/>
    <w:rsid w:val="004E103A"/>
    <w:rsid w:val="004E14BF"/>
    <w:rsid w:val="004E152E"/>
    <w:rsid w:val="004E1BC1"/>
    <w:rsid w:val="004E25E6"/>
    <w:rsid w:val="004E2D7B"/>
    <w:rsid w:val="004E3260"/>
    <w:rsid w:val="004E4751"/>
    <w:rsid w:val="004E599A"/>
    <w:rsid w:val="004E6963"/>
    <w:rsid w:val="004F7DED"/>
    <w:rsid w:val="00501068"/>
    <w:rsid w:val="00501DD2"/>
    <w:rsid w:val="00501E57"/>
    <w:rsid w:val="00502CB5"/>
    <w:rsid w:val="00507315"/>
    <w:rsid w:val="00507418"/>
    <w:rsid w:val="00507E32"/>
    <w:rsid w:val="00512214"/>
    <w:rsid w:val="005133E1"/>
    <w:rsid w:val="00513B10"/>
    <w:rsid w:val="00515675"/>
    <w:rsid w:val="0051737D"/>
    <w:rsid w:val="00520FF7"/>
    <w:rsid w:val="005220AD"/>
    <w:rsid w:val="00524F2B"/>
    <w:rsid w:val="00530875"/>
    <w:rsid w:val="00530F89"/>
    <w:rsid w:val="005336B9"/>
    <w:rsid w:val="00534210"/>
    <w:rsid w:val="0053464F"/>
    <w:rsid w:val="0053582B"/>
    <w:rsid w:val="00541F78"/>
    <w:rsid w:val="00544E4F"/>
    <w:rsid w:val="00550214"/>
    <w:rsid w:val="00550F96"/>
    <w:rsid w:val="0055109F"/>
    <w:rsid w:val="005518E6"/>
    <w:rsid w:val="0055687B"/>
    <w:rsid w:val="00557BD8"/>
    <w:rsid w:val="0056032D"/>
    <w:rsid w:val="00563A2E"/>
    <w:rsid w:val="00563CAB"/>
    <w:rsid w:val="00563CAC"/>
    <w:rsid w:val="005653CA"/>
    <w:rsid w:val="00565A60"/>
    <w:rsid w:val="00566BC5"/>
    <w:rsid w:val="005712F1"/>
    <w:rsid w:val="00572CB2"/>
    <w:rsid w:val="005862A5"/>
    <w:rsid w:val="005878F9"/>
    <w:rsid w:val="0059000F"/>
    <w:rsid w:val="00591D48"/>
    <w:rsid w:val="00593D3F"/>
    <w:rsid w:val="005955A3"/>
    <w:rsid w:val="005977A1"/>
    <w:rsid w:val="005A16C3"/>
    <w:rsid w:val="005A1E73"/>
    <w:rsid w:val="005A270C"/>
    <w:rsid w:val="005A32F5"/>
    <w:rsid w:val="005A34AD"/>
    <w:rsid w:val="005A70B2"/>
    <w:rsid w:val="005B202B"/>
    <w:rsid w:val="005B2FAD"/>
    <w:rsid w:val="005C0D13"/>
    <w:rsid w:val="005C2413"/>
    <w:rsid w:val="005C308F"/>
    <w:rsid w:val="005C3E10"/>
    <w:rsid w:val="005C4CC8"/>
    <w:rsid w:val="005D0BDD"/>
    <w:rsid w:val="005D18C7"/>
    <w:rsid w:val="005D254B"/>
    <w:rsid w:val="005D2B6D"/>
    <w:rsid w:val="005D4D7A"/>
    <w:rsid w:val="005D5B73"/>
    <w:rsid w:val="005D75CF"/>
    <w:rsid w:val="005E03C3"/>
    <w:rsid w:val="005E2517"/>
    <w:rsid w:val="005E38C1"/>
    <w:rsid w:val="005F1124"/>
    <w:rsid w:val="005F1B6D"/>
    <w:rsid w:val="005F31B6"/>
    <w:rsid w:val="005F3420"/>
    <w:rsid w:val="005F4E5A"/>
    <w:rsid w:val="005F6629"/>
    <w:rsid w:val="005F7644"/>
    <w:rsid w:val="0060012C"/>
    <w:rsid w:val="0060162E"/>
    <w:rsid w:val="0060438C"/>
    <w:rsid w:val="00617CEC"/>
    <w:rsid w:val="00617E7B"/>
    <w:rsid w:val="00620DCA"/>
    <w:rsid w:val="00623420"/>
    <w:rsid w:val="0062375C"/>
    <w:rsid w:val="00623C82"/>
    <w:rsid w:val="00632151"/>
    <w:rsid w:val="00632579"/>
    <w:rsid w:val="00632685"/>
    <w:rsid w:val="006360BD"/>
    <w:rsid w:val="006374C1"/>
    <w:rsid w:val="006425BE"/>
    <w:rsid w:val="00642C7E"/>
    <w:rsid w:val="00643148"/>
    <w:rsid w:val="006506AB"/>
    <w:rsid w:val="00651ED8"/>
    <w:rsid w:val="00654165"/>
    <w:rsid w:val="00657C00"/>
    <w:rsid w:val="0066363A"/>
    <w:rsid w:val="0066663A"/>
    <w:rsid w:val="0066669B"/>
    <w:rsid w:val="00671728"/>
    <w:rsid w:val="006720F2"/>
    <w:rsid w:val="006722AF"/>
    <w:rsid w:val="006779AB"/>
    <w:rsid w:val="00677A6C"/>
    <w:rsid w:val="006808E6"/>
    <w:rsid w:val="00681565"/>
    <w:rsid w:val="00682172"/>
    <w:rsid w:val="00682647"/>
    <w:rsid w:val="00684110"/>
    <w:rsid w:val="00687191"/>
    <w:rsid w:val="00691CB3"/>
    <w:rsid w:val="00694187"/>
    <w:rsid w:val="00694C4B"/>
    <w:rsid w:val="00695B98"/>
    <w:rsid w:val="006A5CBD"/>
    <w:rsid w:val="006A6160"/>
    <w:rsid w:val="006A68F8"/>
    <w:rsid w:val="006B1498"/>
    <w:rsid w:val="006B1774"/>
    <w:rsid w:val="006B2ABA"/>
    <w:rsid w:val="006B3209"/>
    <w:rsid w:val="006B7431"/>
    <w:rsid w:val="006C13F0"/>
    <w:rsid w:val="006C175A"/>
    <w:rsid w:val="006C3331"/>
    <w:rsid w:val="006C6826"/>
    <w:rsid w:val="006D1077"/>
    <w:rsid w:val="006D226F"/>
    <w:rsid w:val="006D26D4"/>
    <w:rsid w:val="006D3F53"/>
    <w:rsid w:val="006D5DE2"/>
    <w:rsid w:val="006D6654"/>
    <w:rsid w:val="006E22CA"/>
    <w:rsid w:val="006E2930"/>
    <w:rsid w:val="006E4993"/>
    <w:rsid w:val="006E6573"/>
    <w:rsid w:val="006E66CE"/>
    <w:rsid w:val="006F2087"/>
    <w:rsid w:val="006F4280"/>
    <w:rsid w:val="006F56F4"/>
    <w:rsid w:val="00701993"/>
    <w:rsid w:val="0070255F"/>
    <w:rsid w:val="007033E2"/>
    <w:rsid w:val="007076B3"/>
    <w:rsid w:val="00711892"/>
    <w:rsid w:val="007140BA"/>
    <w:rsid w:val="007154AC"/>
    <w:rsid w:val="00715E6C"/>
    <w:rsid w:val="00730A3F"/>
    <w:rsid w:val="007310E7"/>
    <w:rsid w:val="007336C8"/>
    <w:rsid w:val="00737BF4"/>
    <w:rsid w:val="00742B58"/>
    <w:rsid w:val="0074345E"/>
    <w:rsid w:val="00743FA2"/>
    <w:rsid w:val="00751034"/>
    <w:rsid w:val="0075136C"/>
    <w:rsid w:val="00752F6E"/>
    <w:rsid w:val="00754015"/>
    <w:rsid w:val="00762650"/>
    <w:rsid w:val="0076448A"/>
    <w:rsid w:val="00766584"/>
    <w:rsid w:val="00770CCA"/>
    <w:rsid w:val="00772FDE"/>
    <w:rsid w:val="00776712"/>
    <w:rsid w:val="007772DD"/>
    <w:rsid w:val="00781198"/>
    <w:rsid w:val="007835A0"/>
    <w:rsid w:val="00783C82"/>
    <w:rsid w:val="00783EC0"/>
    <w:rsid w:val="00784DE0"/>
    <w:rsid w:val="0078739A"/>
    <w:rsid w:val="007873D4"/>
    <w:rsid w:val="00787500"/>
    <w:rsid w:val="007876D8"/>
    <w:rsid w:val="007909A6"/>
    <w:rsid w:val="00793459"/>
    <w:rsid w:val="007935B9"/>
    <w:rsid w:val="0079514E"/>
    <w:rsid w:val="00795B1D"/>
    <w:rsid w:val="00795DD0"/>
    <w:rsid w:val="00796E6E"/>
    <w:rsid w:val="00797773"/>
    <w:rsid w:val="007A0C1E"/>
    <w:rsid w:val="007A234C"/>
    <w:rsid w:val="007A45A2"/>
    <w:rsid w:val="007A5E0B"/>
    <w:rsid w:val="007C0190"/>
    <w:rsid w:val="007C20DF"/>
    <w:rsid w:val="007C382E"/>
    <w:rsid w:val="007C4AA3"/>
    <w:rsid w:val="007C7C00"/>
    <w:rsid w:val="007D0247"/>
    <w:rsid w:val="007D3CAA"/>
    <w:rsid w:val="007E0D8B"/>
    <w:rsid w:val="007E6F54"/>
    <w:rsid w:val="007E7A14"/>
    <w:rsid w:val="007F3480"/>
    <w:rsid w:val="007F7246"/>
    <w:rsid w:val="007F7B1E"/>
    <w:rsid w:val="00800E72"/>
    <w:rsid w:val="00802718"/>
    <w:rsid w:val="00804D4F"/>
    <w:rsid w:val="0080728E"/>
    <w:rsid w:val="008103FF"/>
    <w:rsid w:val="008109C5"/>
    <w:rsid w:val="008114C4"/>
    <w:rsid w:val="00812431"/>
    <w:rsid w:val="00820D57"/>
    <w:rsid w:val="00823777"/>
    <w:rsid w:val="00826020"/>
    <w:rsid w:val="00826AC2"/>
    <w:rsid w:val="00830224"/>
    <w:rsid w:val="00830692"/>
    <w:rsid w:val="00832156"/>
    <w:rsid w:val="00833662"/>
    <w:rsid w:val="00833686"/>
    <w:rsid w:val="00841907"/>
    <w:rsid w:val="00844138"/>
    <w:rsid w:val="00844749"/>
    <w:rsid w:val="00847DE1"/>
    <w:rsid w:val="00850C47"/>
    <w:rsid w:val="00850E1C"/>
    <w:rsid w:val="0085664C"/>
    <w:rsid w:val="00857F22"/>
    <w:rsid w:val="00857F9F"/>
    <w:rsid w:val="008607CB"/>
    <w:rsid w:val="00861A0C"/>
    <w:rsid w:val="008644F3"/>
    <w:rsid w:val="008676CC"/>
    <w:rsid w:val="008711A1"/>
    <w:rsid w:val="0087167F"/>
    <w:rsid w:val="00873C61"/>
    <w:rsid w:val="00873EA4"/>
    <w:rsid w:val="00874479"/>
    <w:rsid w:val="00877895"/>
    <w:rsid w:val="00885C02"/>
    <w:rsid w:val="0088715A"/>
    <w:rsid w:val="00890569"/>
    <w:rsid w:val="00890605"/>
    <w:rsid w:val="00893BCE"/>
    <w:rsid w:val="008978B7"/>
    <w:rsid w:val="008A3FB2"/>
    <w:rsid w:val="008B0267"/>
    <w:rsid w:val="008B141F"/>
    <w:rsid w:val="008B1537"/>
    <w:rsid w:val="008B5714"/>
    <w:rsid w:val="008B5EA4"/>
    <w:rsid w:val="008C1823"/>
    <w:rsid w:val="008C241E"/>
    <w:rsid w:val="008C2C44"/>
    <w:rsid w:val="008C3A5D"/>
    <w:rsid w:val="008D57C0"/>
    <w:rsid w:val="008D698D"/>
    <w:rsid w:val="008D6B3F"/>
    <w:rsid w:val="008D744F"/>
    <w:rsid w:val="008D7B48"/>
    <w:rsid w:val="008E1749"/>
    <w:rsid w:val="008E1A8F"/>
    <w:rsid w:val="008E2A0E"/>
    <w:rsid w:val="008E44B6"/>
    <w:rsid w:val="008E478A"/>
    <w:rsid w:val="008E56CB"/>
    <w:rsid w:val="008E7DF1"/>
    <w:rsid w:val="008F09F6"/>
    <w:rsid w:val="008F1234"/>
    <w:rsid w:val="008F4199"/>
    <w:rsid w:val="00900306"/>
    <w:rsid w:val="00901AAA"/>
    <w:rsid w:val="009024DD"/>
    <w:rsid w:val="009110A5"/>
    <w:rsid w:val="009122F0"/>
    <w:rsid w:val="0091285F"/>
    <w:rsid w:val="00912B6F"/>
    <w:rsid w:val="00913057"/>
    <w:rsid w:val="00913E56"/>
    <w:rsid w:val="00914D72"/>
    <w:rsid w:val="009225F5"/>
    <w:rsid w:val="00924C14"/>
    <w:rsid w:val="00925204"/>
    <w:rsid w:val="00925BE3"/>
    <w:rsid w:val="00926491"/>
    <w:rsid w:val="009276AD"/>
    <w:rsid w:val="00933BC3"/>
    <w:rsid w:val="009354C5"/>
    <w:rsid w:val="00941873"/>
    <w:rsid w:val="00944A53"/>
    <w:rsid w:val="0095781C"/>
    <w:rsid w:val="009603E2"/>
    <w:rsid w:val="00960BCC"/>
    <w:rsid w:val="009625F2"/>
    <w:rsid w:val="00963322"/>
    <w:rsid w:val="00973505"/>
    <w:rsid w:val="00973F91"/>
    <w:rsid w:val="00974085"/>
    <w:rsid w:val="009767F8"/>
    <w:rsid w:val="0097742C"/>
    <w:rsid w:val="0098464C"/>
    <w:rsid w:val="0098519C"/>
    <w:rsid w:val="009862EC"/>
    <w:rsid w:val="00991364"/>
    <w:rsid w:val="00991DA6"/>
    <w:rsid w:val="00993786"/>
    <w:rsid w:val="009A1012"/>
    <w:rsid w:val="009A308D"/>
    <w:rsid w:val="009A6D49"/>
    <w:rsid w:val="009B474E"/>
    <w:rsid w:val="009B6379"/>
    <w:rsid w:val="009B6A8F"/>
    <w:rsid w:val="009B7B94"/>
    <w:rsid w:val="009C0F70"/>
    <w:rsid w:val="009C28EB"/>
    <w:rsid w:val="009C2B3B"/>
    <w:rsid w:val="009C5731"/>
    <w:rsid w:val="009C7342"/>
    <w:rsid w:val="009C7D52"/>
    <w:rsid w:val="009D08DE"/>
    <w:rsid w:val="009D2DE0"/>
    <w:rsid w:val="009D6FA8"/>
    <w:rsid w:val="009D7828"/>
    <w:rsid w:val="009E579A"/>
    <w:rsid w:val="009E6F9B"/>
    <w:rsid w:val="009F0BB2"/>
    <w:rsid w:val="009F1DFE"/>
    <w:rsid w:val="009F2C41"/>
    <w:rsid w:val="009F4FEF"/>
    <w:rsid w:val="009F6A6C"/>
    <w:rsid w:val="00A028CC"/>
    <w:rsid w:val="00A07396"/>
    <w:rsid w:val="00A15AD9"/>
    <w:rsid w:val="00A162C7"/>
    <w:rsid w:val="00A166DB"/>
    <w:rsid w:val="00A32386"/>
    <w:rsid w:val="00A33F43"/>
    <w:rsid w:val="00A402D2"/>
    <w:rsid w:val="00A419C1"/>
    <w:rsid w:val="00A4298A"/>
    <w:rsid w:val="00A43D42"/>
    <w:rsid w:val="00A440DA"/>
    <w:rsid w:val="00A54037"/>
    <w:rsid w:val="00A56F0E"/>
    <w:rsid w:val="00A57C2A"/>
    <w:rsid w:val="00A628B4"/>
    <w:rsid w:val="00A635A2"/>
    <w:rsid w:val="00A64C3F"/>
    <w:rsid w:val="00A64E38"/>
    <w:rsid w:val="00A65B51"/>
    <w:rsid w:val="00A71832"/>
    <w:rsid w:val="00A77063"/>
    <w:rsid w:val="00A8175E"/>
    <w:rsid w:val="00A87F74"/>
    <w:rsid w:val="00A904CD"/>
    <w:rsid w:val="00A94064"/>
    <w:rsid w:val="00A94792"/>
    <w:rsid w:val="00A97EE1"/>
    <w:rsid w:val="00AA2567"/>
    <w:rsid w:val="00AA2E3C"/>
    <w:rsid w:val="00AA6596"/>
    <w:rsid w:val="00AA6E21"/>
    <w:rsid w:val="00AB457E"/>
    <w:rsid w:val="00AB7554"/>
    <w:rsid w:val="00AC1ED1"/>
    <w:rsid w:val="00AC34AF"/>
    <w:rsid w:val="00AC392A"/>
    <w:rsid w:val="00AD0453"/>
    <w:rsid w:val="00AD0699"/>
    <w:rsid w:val="00AD0A35"/>
    <w:rsid w:val="00AD19EE"/>
    <w:rsid w:val="00AD2314"/>
    <w:rsid w:val="00AD25E1"/>
    <w:rsid w:val="00AD3652"/>
    <w:rsid w:val="00AD7131"/>
    <w:rsid w:val="00AE1260"/>
    <w:rsid w:val="00AE1B72"/>
    <w:rsid w:val="00AE2E57"/>
    <w:rsid w:val="00AE3E56"/>
    <w:rsid w:val="00AE5064"/>
    <w:rsid w:val="00AE5D91"/>
    <w:rsid w:val="00AE6A97"/>
    <w:rsid w:val="00AE6BE7"/>
    <w:rsid w:val="00AF5943"/>
    <w:rsid w:val="00AF645B"/>
    <w:rsid w:val="00AF6B41"/>
    <w:rsid w:val="00AF7832"/>
    <w:rsid w:val="00B0051E"/>
    <w:rsid w:val="00B00BD6"/>
    <w:rsid w:val="00B02377"/>
    <w:rsid w:val="00B045D2"/>
    <w:rsid w:val="00B10464"/>
    <w:rsid w:val="00B1103E"/>
    <w:rsid w:val="00B11BE2"/>
    <w:rsid w:val="00B13C07"/>
    <w:rsid w:val="00B1710A"/>
    <w:rsid w:val="00B22F5C"/>
    <w:rsid w:val="00B328F3"/>
    <w:rsid w:val="00B33970"/>
    <w:rsid w:val="00B358D6"/>
    <w:rsid w:val="00B36EAD"/>
    <w:rsid w:val="00B37987"/>
    <w:rsid w:val="00B37EC4"/>
    <w:rsid w:val="00B40C15"/>
    <w:rsid w:val="00B435F5"/>
    <w:rsid w:val="00B440B0"/>
    <w:rsid w:val="00B46585"/>
    <w:rsid w:val="00B47652"/>
    <w:rsid w:val="00B51B49"/>
    <w:rsid w:val="00B5373A"/>
    <w:rsid w:val="00B545B4"/>
    <w:rsid w:val="00B61ECC"/>
    <w:rsid w:val="00B6206D"/>
    <w:rsid w:val="00B627B8"/>
    <w:rsid w:val="00B62BBB"/>
    <w:rsid w:val="00B63073"/>
    <w:rsid w:val="00B63AEE"/>
    <w:rsid w:val="00B65C02"/>
    <w:rsid w:val="00B65D77"/>
    <w:rsid w:val="00B6739A"/>
    <w:rsid w:val="00B70666"/>
    <w:rsid w:val="00B74DD6"/>
    <w:rsid w:val="00B83521"/>
    <w:rsid w:val="00B835C9"/>
    <w:rsid w:val="00B83C3E"/>
    <w:rsid w:val="00B86C7F"/>
    <w:rsid w:val="00B90439"/>
    <w:rsid w:val="00B9160F"/>
    <w:rsid w:val="00B93673"/>
    <w:rsid w:val="00B96D96"/>
    <w:rsid w:val="00B97E06"/>
    <w:rsid w:val="00B97FF3"/>
    <w:rsid w:val="00BA175C"/>
    <w:rsid w:val="00BA6C43"/>
    <w:rsid w:val="00BB1933"/>
    <w:rsid w:val="00BB1A73"/>
    <w:rsid w:val="00BB55F0"/>
    <w:rsid w:val="00BB7414"/>
    <w:rsid w:val="00BC2506"/>
    <w:rsid w:val="00BC3AAB"/>
    <w:rsid w:val="00BC4ABA"/>
    <w:rsid w:val="00BC5D71"/>
    <w:rsid w:val="00BD3357"/>
    <w:rsid w:val="00BD4269"/>
    <w:rsid w:val="00BD53DF"/>
    <w:rsid w:val="00BD7CF9"/>
    <w:rsid w:val="00BE3967"/>
    <w:rsid w:val="00BE433C"/>
    <w:rsid w:val="00BE4E2A"/>
    <w:rsid w:val="00BE5F1D"/>
    <w:rsid w:val="00BE72D9"/>
    <w:rsid w:val="00BF17C2"/>
    <w:rsid w:val="00BF36E3"/>
    <w:rsid w:val="00BF5C62"/>
    <w:rsid w:val="00C0147B"/>
    <w:rsid w:val="00C047E1"/>
    <w:rsid w:val="00C057B2"/>
    <w:rsid w:val="00C06DA8"/>
    <w:rsid w:val="00C115F8"/>
    <w:rsid w:val="00C12417"/>
    <w:rsid w:val="00C146D8"/>
    <w:rsid w:val="00C14AA2"/>
    <w:rsid w:val="00C22004"/>
    <w:rsid w:val="00C243B3"/>
    <w:rsid w:val="00C27736"/>
    <w:rsid w:val="00C27985"/>
    <w:rsid w:val="00C30429"/>
    <w:rsid w:val="00C30FFB"/>
    <w:rsid w:val="00C322C4"/>
    <w:rsid w:val="00C360B7"/>
    <w:rsid w:val="00C3769B"/>
    <w:rsid w:val="00C379D7"/>
    <w:rsid w:val="00C37FB3"/>
    <w:rsid w:val="00C41C7A"/>
    <w:rsid w:val="00C44951"/>
    <w:rsid w:val="00C47B86"/>
    <w:rsid w:val="00C50EEF"/>
    <w:rsid w:val="00C52B04"/>
    <w:rsid w:val="00C52F4F"/>
    <w:rsid w:val="00C64731"/>
    <w:rsid w:val="00C7142F"/>
    <w:rsid w:val="00C71951"/>
    <w:rsid w:val="00C74AD0"/>
    <w:rsid w:val="00C816AD"/>
    <w:rsid w:val="00C85D65"/>
    <w:rsid w:val="00C87A6A"/>
    <w:rsid w:val="00C90AC0"/>
    <w:rsid w:val="00C95B7B"/>
    <w:rsid w:val="00C9672A"/>
    <w:rsid w:val="00C97B13"/>
    <w:rsid w:val="00C97DEC"/>
    <w:rsid w:val="00CA38FC"/>
    <w:rsid w:val="00CB2268"/>
    <w:rsid w:val="00CB29AA"/>
    <w:rsid w:val="00CB300E"/>
    <w:rsid w:val="00CB7B0A"/>
    <w:rsid w:val="00CC1BB1"/>
    <w:rsid w:val="00CC3B68"/>
    <w:rsid w:val="00CC4387"/>
    <w:rsid w:val="00CC4469"/>
    <w:rsid w:val="00CC72F1"/>
    <w:rsid w:val="00CC7ACA"/>
    <w:rsid w:val="00CD374C"/>
    <w:rsid w:val="00CD5B1D"/>
    <w:rsid w:val="00CE2B68"/>
    <w:rsid w:val="00CE4ED7"/>
    <w:rsid w:val="00CE5B35"/>
    <w:rsid w:val="00CE7974"/>
    <w:rsid w:val="00CF3224"/>
    <w:rsid w:val="00D01278"/>
    <w:rsid w:val="00D0494D"/>
    <w:rsid w:val="00D07FDE"/>
    <w:rsid w:val="00D11BF3"/>
    <w:rsid w:val="00D11F10"/>
    <w:rsid w:val="00D16164"/>
    <w:rsid w:val="00D2040B"/>
    <w:rsid w:val="00D2178D"/>
    <w:rsid w:val="00D21DCD"/>
    <w:rsid w:val="00D25C19"/>
    <w:rsid w:val="00D2697A"/>
    <w:rsid w:val="00D34C12"/>
    <w:rsid w:val="00D35127"/>
    <w:rsid w:val="00D43119"/>
    <w:rsid w:val="00D44CF0"/>
    <w:rsid w:val="00D4701F"/>
    <w:rsid w:val="00D52C97"/>
    <w:rsid w:val="00D5626A"/>
    <w:rsid w:val="00D60C6E"/>
    <w:rsid w:val="00D60F78"/>
    <w:rsid w:val="00D66F8D"/>
    <w:rsid w:val="00D678E5"/>
    <w:rsid w:val="00D7202E"/>
    <w:rsid w:val="00D752FF"/>
    <w:rsid w:val="00D80A06"/>
    <w:rsid w:val="00D8136D"/>
    <w:rsid w:val="00D91749"/>
    <w:rsid w:val="00D95A08"/>
    <w:rsid w:val="00D97CCC"/>
    <w:rsid w:val="00DA4497"/>
    <w:rsid w:val="00DA526B"/>
    <w:rsid w:val="00DA5E3E"/>
    <w:rsid w:val="00DA722B"/>
    <w:rsid w:val="00DA79E0"/>
    <w:rsid w:val="00DB56B7"/>
    <w:rsid w:val="00DB5A04"/>
    <w:rsid w:val="00DC0416"/>
    <w:rsid w:val="00DC0603"/>
    <w:rsid w:val="00DC0B32"/>
    <w:rsid w:val="00DC0FF1"/>
    <w:rsid w:val="00DC2B32"/>
    <w:rsid w:val="00DC6563"/>
    <w:rsid w:val="00DD11E7"/>
    <w:rsid w:val="00DD4821"/>
    <w:rsid w:val="00DE251F"/>
    <w:rsid w:val="00DE3141"/>
    <w:rsid w:val="00DE339B"/>
    <w:rsid w:val="00DE5614"/>
    <w:rsid w:val="00DF6058"/>
    <w:rsid w:val="00DF6A0F"/>
    <w:rsid w:val="00DF7840"/>
    <w:rsid w:val="00E013F4"/>
    <w:rsid w:val="00E02C2E"/>
    <w:rsid w:val="00E057F3"/>
    <w:rsid w:val="00E07EC5"/>
    <w:rsid w:val="00E1150B"/>
    <w:rsid w:val="00E13B69"/>
    <w:rsid w:val="00E2401E"/>
    <w:rsid w:val="00E27FD9"/>
    <w:rsid w:val="00E3039A"/>
    <w:rsid w:val="00E34999"/>
    <w:rsid w:val="00E36E2F"/>
    <w:rsid w:val="00E411AD"/>
    <w:rsid w:val="00E4251B"/>
    <w:rsid w:val="00E42BCC"/>
    <w:rsid w:val="00E470BC"/>
    <w:rsid w:val="00E50AE7"/>
    <w:rsid w:val="00E57796"/>
    <w:rsid w:val="00E62BE4"/>
    <w:rsid w:val="00E6354C"/>
    <w:rsid w:val="00E63949"/>
    <w:rsid w:val="00E7269E"/>
    <w:rsid w:val="00E72D06"/>
    <w:rsid w:val="00E74823"/>
    <w:rsid w:val="00E76970"/>
    <w:rsid w:val="00E77433"/>
    <w:rsid w:val="00E8321B"/>
    <w:rsid w:val="00E83E25"/>
    <w:rsid w:val="00E85829"/>
    <w:rsid w:val="00E90AC7"/>
    <w:rsid w:val="00E93494"/>
    <w:rsid w:val="00E937B0"/>
    <w:rsid w:val="00EA37C9"/>
    <w:rsid w:val="00EA4BD1"/>
    <w:rsid w:val="00EA5790"/>
    <w:rsid w:val="00EA5C24"/>
    <w:rsid w:val="00EB35BA"/>
    <w:rsid w:val="00EB6586"/>
    <w:rsid w:val="00EB73A7"/>
    <w:rsid w:val="00EB7741"/>
    <w:rsid w:val="00EC1E00"/>
    <w:rsid w:val="00EC2812"/>
    <w:rsid w:val="00EC4AB8"/>
    <w:rsid w:val="00EC53B6"/>
    <w:rsid w:val="00EC7409"/>
    <w:rsid w:val="00ED3C72"/>
    <w:rsid w:val="00ED3EED"/>
    <w:rsid w:val="00EE1BE7"/>
    <w:rsid w:val="00EE381B"/>
    <w:rsid w:val="00EF02A7"/>
    <w:rsid w:val="00EF16F7"/>
    <w:rsid w:val="00EF2888"/>
    <w:rsid w:val="00EF5E3B"/>
    <w:rsid w:val="00EF5FB7"/>
    <w:rsid w:val="00F000B3"/>
    <w:rsid w:val="00F00F7E"/>
    <w:rsid w:val="00F0197E"/>
    <w:rsid w:val="00F064C2"/>
    <w:rsid w:val="00F06980"/>
    <w:rsid w:val="00F12EA3"/>
    <w:rsid w:val="00F131B9"/>
    <w:rsid w:val="00F13815"/>
    <w:rsid w:val="00F21F44"/>
    <w:rsid w:val="00F22EE0"/>
    <w:rsid w:val="00F253C8"/>
    <w:rsid w:val="00F267AE"/>
    <w:rsid w:val="00F320F6"/>
    <w:rsid w:val="00F32223"/>
    <w:rsid w:val="00F34DD4"/>
    <w:rsid w:val="00F35244"/>
    <w:rsid w:val="00F44F67"/>
    <w:rsid w:val="00F46444"/>
    <w:rsid w:val="00F46B62"/>
    <w:rsid w:val="00F46C61"/>
    <w:rsid w:val="00F50B18"/>
    <w:rsid w:val="00F5212D"/>
    <w:rsid w:val="00F528C1"/>
    <w:rsid w:val="00F53DB6"/>
    <w:rsid w:val="00F555A1"/>
    <w:rsid w:val="00F5680E"/>
    <w:rsid w:val="00F57840"/>
    <w:rsid w:val="00F57DFE"/>
    <w:rsid w:val="00F57E27"/>
    <w:rsid w:val="00F60B6F"/>
    <w:rsid w:val="00F641A6"/>
    <w:rsid w:val="00F674A1"/>
    <w:rsid w:val="00F70831"/>
    <w:rsid w:val="00F7136F"/>
    <w:rsid w:val="00F74282"/>
    <w:rsid w:val="00F8033E"/>
    <w:rsid w:val="00F85B74"/>
    <w:rsid w:val="00F9120B"/>
    <w:rsid w:val="00F91512"/>
    <w:rsid w:val="00F91D22"/>
    <w:rsid w:val="00F948B5"/>
    <w:rsid w:val="00FA169B"/>
    <w:rsid w:val="00FA4CD7"/>
    <w:rsid w:val="00FA7105"/>
    <w:rsid w:val="00FA717A"/>
    <w:rsid w:val="00FC037D"/>
    <w:rsid w:val="00FC068F"/>
    <w:rsid w:val="00FC2B9D"/>
    <w:rsid w:val="00FC36EF"/>
    <w:rsid w:val="00FC4369"/>
    <w:rsid w:val="00FC6C5F"/>
    <w:rsid w:val="00FD1370"/>
    <w:rsid w:val="00FD1669"/>
    <w:rsid w:val="00FD1DA5"/>
    <w:rsid w:val="00FD2DAD"/>
    <w:rsid w:val="00FD53CE"/>
    <w:rsid w:val="00FD5870"/>
    <w:rsid w:val="00FE0FD2"/>
    <w:rsid w:val="00FE1407"/>
    <w:rsid w:val="00FE5C36"/>
    <w:rsid w:val="00FF0F03"/>
    <w:rsid w:val="00FF24FA"/>
    <w:rsid w:val="00FF6D56"/>
    <w:rsid w:val="01066A48"/>
    <w:rsid w:val="01067109"/>
    <w:rsid w:val="01120383"/>
    <w:rsid w:val="011244FD"/>
    <w:rsid w:val="011E1FE4"/>
    <w:rsid w:val="01311D17"/>
    <w:rsid w:val="01395C35"/>
    <w:rsid w:val="013B4944"/>
    <w:rsid w:val="01475433"/>
    <w:rsid w:val="016F3AAD"/>
    <w:rsid w:val="01702453"/>
    <w:rsid w:val="017473BB"/>
    <w:rsid w:val="01785B98"/>
    <w:rsid w:val="017D31AE"/>
    <w:rsid w:val="01853E11"/>
    <w:rsid w:val="019708E7"/>
    <w:rsid w:val="01A56261"/>
    <w:rsid w:val="01A60DE9"/>
    <w:rsid w:val="01AA3D00"/>
    <w:rsid w:val="01BA1D28"/>
    <w:rsid w:val="01CA216C"/>
    <w:rsid w:val="01CE7680"/>
    <w:rsid w:val="01DF5C17"/>
    <w:rsid w:val="01E44FDB"/>
    <w:rsid w:val="02001B57"/>
    <w:rsid w:val="02073223"/>
    <w:rsid w:val="020D6DB7"/>
    <w:rsid w:val="021B6523"/>
    <w:rsid w:val="021F06DB"/>
    <w:rsid w:val="022B2C0A"/>
    <w:rsid w:val="02324D8B"/>
    <w:rsid w:val="023D176F"/>
    <w:rsid w:val="023D293E"/>
    <w:rsid w:val="024216DD"/>
    <w:rsid w:val="024C2B81"/>
    <w:rsid w:val="02920A15"/>
    <w:rsid w:val="02A12CA6"/>
    <w:rsid w:val="02AF383B"/>
    <w:rsid w:val="02BE3A7E"/>
    <w:rsid w:val="02C62933"/>
    <w:rsid w:val="02C834B2"/>
    <w:rsid w:val="02DA63DE"/>
    <w:rsid w:val="02DE5ECF"/>
    <w:rsid w:val="02E334E5"/>
    <w:rsid w:val="02E4100B"/>
    <w:rsid w:val="02E42DB9"/>
    <w:rsid w:val="03220A1F"/>
    <w:rsid w:val="03393105"/>
    <w:rsid w:val="03451AAA"/>
    <w:rsid w:val="034C108A"/>
    <w:rsid w:val="03505E63"/>
    <w:rsid w:val="035735B5"/>
    <w:rsid w:val="03771E7F"/>
    <w:rsid w:val="037800D1"/>
    <w:rsid w:val="03804BEF"/>
    <w:rsid w:val="039B5B6E"/>
    <w:rsid w:val="03A10CAA"/>
    <w:rsid w:val="03A224F0"/>
    <w:rsid w:val="03A52548"/>
    <w:rsid w:val="03AF4AA0"/>
    <w:rsid w:val="03BA4D7B"/>
    <w:rsid w:val="03BB0695"/>
    <w:rsid w:val="03C055D4"/>
    <w:rsid w:val="03F65AF5"/>
    <w:rsid w:val="03FD2384"/>
    <w:rsid w:val="0418006A"/>
    <w:rsid w:val="0430275A"/>
    <w:rsid w:val="043873E6"/>
    <w:rsid w:val="044004C3"/>
    <w:rsid w:val="044C6B02"/>
    <w:rsid w:val="045577FD"/>
    <w:rsid w:val="04610B65"/>
    <w:rsid w:val="046C23B3"/>
    <w:rsid w:val="04732647"/>
    <w:rsid w:val="04754611"/>
    <w:rsid w:val="04762137"/>
    <w:rsid w:val="047654EA"/>
    <w:rsid w:val="04784101"/>
    <w:rsid w:val="047D5273"/>
    <w:rsid w:val="047F65B0"/>
    <w:rsid w:val="049D561A"/>
    <w:rsid w:val="049F33F8"/>
    <w:rsid w:val="04A967DA"/>
    <w:rsid w:val="04BA06DE"/>
    <w:rsid w:val="04BD7D66"/>
    <w:rsid w:val="04C11894"/>
    <w:rsid w:val="04C3537C"/>
    <w:rsid w:val="04DF1A8A"/>
    <w:rsid w:val="04E63B0B"/>
    <w:rsid w:val="04EB64FF"/>
    <w:rsid w:val="04ED54CA"/>
    <w:rsid w:val="050F05C1"/>
    <w:rsid w:val="05145BD8"/>
    <w:rsid w:val="05202473"/>
    <w:rsid w:val="05204DFB"/>
    <w:rsid w:val="052657D5"/>
    <w:rsid w:val="0541086B"/>
    <w:rsid w:val="054D10EA"/>
    <w:rsid w:val="05620CD3"/>
    <w:rsid w:val="058052E5"/>
    <w:rsid w:val="058748E6"/>
    <w:rsid w:val="05893BE4"/>
    <w:rsid w:val="058C1C12"/>
    <w:rsid w:val="05963E0A"/>
    <w:rsid w:val="059705B7"/>
    <w:rsid w:val="05A014F5"/>
    <w:rsid w:val="05AB7B8B"/>
    <w:rsid w:val="05B11678"/>
    <w:rsid w:val="05B80C59"/>
    <w:rsid w:val="05B95E28"/>
    <w:rsid w:val="05BC11E8"/>
    <w:rsid w:val="05BF7BE6"/>
    <w:rsid w:val="05DD5DC4"/>
    <w:rsid w:val="05DE0AE0"/>
    <w:rsid w:val="05E019A3"/>
    <w:rsid w:val="05E97064"/>
    <w:rsid w:val="06007F0A"/>
    <w:rsid w:val="06021ED4"/>
    <w:rsid w:val="06052630"/>
    <w:rsid w:val="0606260C"/>
    <w:rsid w:val="0622219B"/>
    <w:rsid w:val="06255BC2"/>
    <w:rsid w:val="062D16E2"/>
    <w:rsid w:val="063F4EC2"/>
    <w:rsid w:val="0670592C"/>
    <w:rsid w:val="067D77AC"/>
    <w:rsid w:val="067F1070"/>
    <w:rsid w:val="068963B5"/>
    <w:rsid w:val="06897EFF"/>
    <w:rsid w:val="0692004C"/>
    <w:rsid w:val="0696261C"/>
    <w:rsid w:val="06984335"/>
    <w:rsid w:val="069C5763"/>
    <w:rsid w:val="06AC0092"/>
    <w:rsid w:val="06D27F8C"/>
    <w:rsid w:val="06DD649D"/>
    <w:rsid w:val="06E45A7E"/>
    <w:rsid w:val="07247C28"/>
    <w:rsid w:val="0733430F"/>
    <w:rsid w:val="073C7668"/>
    <w:rsid w:val="074D717F"/>
    <w:rsid w:val="07524795"/>
    <w:rsid w:val="07571DAC"/>
    <w:rsid w:val="0759426B"/>
    <w:rsid w:val="075E313A"/>
    <w:rsid w:val="07712931"/>
    <w:rsid w:val="07881D66"/>
    <w:rsid w:val="078F59E9"/>
    <w:rsid w:val="079D46FB"/>
    <w:rsid w:val="07A210EE"/>
    <w:rsid w:val="07B80426"/>
    <w:rsid w:val="07BB74B6"/>
    <w:rsid w:val="07C03DF5"/>
    <w:rsid w:val="07C5140B"/>
    <w:rsid w:val="07CC027A"/>
    <w:rsid w:val="07CF4038"/>
    <w:rsid w:val="07D478A0"/>
    <w:rsid w:val="07D82E1F"/>
    <w:rsid w:val="07DB29DD"/>
    <w:rsid w:val="07E20078"/>
    <w:rsid w:val="07E21FBD"/>
    <w:rsid w:val="07E2493C"/>
    <w:rsid w:val="07F67816"/>
    <w:rsid w:val="07FB6BDB"/>
    <w:rsid w:val="08161C67"/>
    <w:rsid w:val="081E0B1B"/>
    <w:rsid w:val="082E5202"/>
    <w:rsid w:val="08300447"/>
    <w:rsid w:val="08400A92"/>
    <w:rsid w:val="0840732D"/>
    <w:rsid w:val="085876AF"/>
    <w:rsid w:val="08857734"/>
    <w:rsid w:val="0891753F"/>
    <w:rsid w:val="089D3789"/>
    <w:rsid w:val="08A67107"/>
    <w:rsid w:val="08AA0601"/>
    <w:rsid w:val="08AE00F1"/>
    <w:rsid w:val="08CA5840"/>
    <w:rsid w:val="08D12A6B"/>
    <w:rsid w:val="08DA7138"/>
    <w:rsid w:val="08E654F9"/>
    <w:rsid w:val="08FC0E5C"/>
    <w:rsid w:val="091837BC"/>
    <w:rsid w:val="091A2619"/>
    <w:rsid w:val="0926237D"/>
    <w:rsid w:val="092D35B9"/>
    <w:rsid w:val="093E39CF"/>
    <w:rsid w:val="09410F65"/>
    <w:rsid w:val="0949606C"/>
    <w:rsid w:val="094C2D98"/>
    <w:rsid w:val="094C7D0B"/>
    <w:rsid w:val="09582C80"/>
    <w:rsid w:val="0965433A"/>
    <w:rsid w:val="096B4234"/>
    <w:rsid w:val="096F2F3A"/>
    <w:rsid w:val="097862A6"/>
    <w:rsid w:val="098470A4"/>
    <w:rsid w:val="098E79F7"/>
    <w:rsid w:val="099077F7"/>
    <w:rsid w:val="09976DD7"/>
    <w:rsid w:val="09985771"/>
    <w:rsid w:val="099B75AB"/>
    <w:rsid w:val="09BA4874"/>
    <w:rsid w:val="09C1387F"/>
    <w:rsid w:val="09CF6571"/>
    <w:rsid w:val="09D26061"/>
    <w:rsid w:val="09D27E0F"/>
    <w:rsid w:val="09DA32CC"/>
    <w:rsid w:val="09E244F6"/>
    <w:rsid w:val="09E87633"/>
    <w:rsid w:val="09EA5159"/>
    <w:rsid w:val="09F2225F"/>
    <w:rsid w:val="0A1B5312"/>
    <w:rsid w:val="0A2653BD"/>
    <w:rsid w:val="0A26755F"/>
    <w:rsid w:val="0A285C81"/>
    <w:rsid w:val="0A2A37A7"/>
    <w:rsid w:val="0A3C2BBC"/>
    <w:rsid w:val="0A447A96"/>
    <w:rsid w:val="0A473377"/>
    <w:rsid w:val="0A4C5E14"/>
    <w:rsid w:val="0A5B7416"/>
    <w:rsid w:val="0A5B7E05"/>
    <w:rsid w:val="0A6A629A"/>
    <w:rsid w:val="0A711221"/>
    <w:rsid w:val="0A7333A0"/>
    <w:rsid w:val="0A776433"/>
    <w:rsid w:val="0AA171C2"/>
    <w:rsid w:val="0AA5415F"/>
    <w:rsid w:val="0AAA2B3A"/>
    <w:rsid w:val="0AAF530B"/>
    <w:rsid w:val="0AB614DF"/>
    <w:rsid w:val="0AB91392"/>
    <w:rsid w:val="0AC05EBA"/>
    <w:rsid w:val="0AC3492C"/>
    <w:rsid w:val="0AC459AA"/>
    <w:rsid w:val="0ACA6D38"/>
    <w:rsid w:val="0AD551D2"/>
    <w:rsid w:val="0AD57BB7"/>
    <w:rsid w:val="0ADB2CF4"/>
    <w:rsid w:val="0ADE6485"/>
    <w:rsid w:val="0AE778EA"/>
    <w:rsid w:val="0AF02C43"/>
    <w:rsid w:val="0B0C0DC3"/>
    <w:rsid w:val="0B0F299D"/>
    <w:rsid w:val="0B1A291F"/>
    <w:rsid w:val="0B2419B2"/>
    <w:rsid w:val="0B2720A1"/>
    <w:rsid w:val="0B291FBA"/>
    <w:rsid w:val="0B3067FB"/>
    <w:rsid w:val="0B461D9C"/>
    <w:rsid w:val="0B521208"/>
    <w:rsid w:val="0B786794"/>
    <w:rsid w:val="0B84338B"/>
    <w:rsid w:val="0B8B296C"/>
    <w:rsid w:val="0B980BE5"/>
    <w:rsid w:val="0BA838D3"/>
    <w:rsid w:val="0BA90F3D"/>
    <w:rsid w:val="0BAE4FBB"/>
    <w:rsid w:val="0BBF5AA8"/>
    <w:rsid w:val="0BC419DA"/>
    <w:rsid w:val="0BD22349"/>
    <w:rsid w:val="0BD47E6F"/>
    <w:rsid w:val="0BD91D4B"/>
    <w:rsid w:val="0BDB744F"/>
    <w:rsid w:val="0BED7182"/>
    <w:rsid w:val="0BF81D28"/>
    <w:rsid w:val="0BF945B1"/>
    <w:rsid w:val="0C000C64"/>
    <w:rsid w:val="0C1029E5"/>
    <w:rsid w:val="0C1E733C"/>
    <w:rsid w:val="0C224F1D"/>
    <w:rsid w:val="0C437B35"/>
    <w:rsid w:val="0C452146"/>
    <w:rsid w:val="0C48260B"/>
    <w:rsid w:val="0C544A3D"/>
    <w:rsid w:val="0C607954"/>
    <w:rsid w:val="0C615462"/>
    <w:rsid w:val="0C8B0B61"/>
    <w:rsid w:val="0C8B5AB0"/>
    <w:rsid w:val="0CBA18D0"/>
    <w:rsid w:val="0CC9374C"/>
    <w:rsid w:val="0CCA1272"/>
    <w:rsid w:val="0CD04897"/>
    <w:rsid w:val="0CF602B9"/>
    <w:rsid w:val="0D076022"/>
    <w:rsid w:val="0D0A3085"/>
    <w:rsid w:val="0D137A0F"/>
    <w:rsid w:val="0D1A6A40"/>
    <w:rsid w:val="0D224C0A"/>
    <w:rsid w:val="0D246BD4"/>
    <w:rsid w:val="0D352B8F"/>
    <w:rsid w:val="0D3856F3"/>
    <w:rsid w:val="0D397EEF"/>
    <w:rsid w:val="0D417786"/>
    <w:rsid w:val="0D442DD2"/>
    <w:rsid w:val="0D49663A"/>
    <w:rsid w:val="0D4C1C87"/>
    <w:rsid w:val="0D5A0D5D"/>
    <w:rsid w:val="0D613984"/>
    <w:rsid w:val="0D6D24F7"/>
    <w:rsid w:val="0D6F6942"/>
    <w:rsid w:val="0D78730D"/>
    <w:rsid w:val="0D7D62E4"/>
    <w:rsid w:val="0D8513E7"/>
    <w:rsid w:val="0D8E04F1"/>
    <w:rsid w:val="0D9D1FC6"/>
    <w:rsid w:val="0D9F625A"/>
    <w:rsid w:val="0DBA24B0"/>
    <w:rsid w:val="0DD3161F"/>
    <w:rsid w:val="0DE34399"/>
    <w:rsid w:val="0DE457E2"/>
    <w:rsid w:val="0DF951CF"/>
    <w:rsid w:val="0DFC18FF"/>
    <w:rsid w:val="0E01428A"/>
    <w:rsid w:val="0E021510"/>
    <w:rsid w:val="0E146F9D"/>
    <w:rsid w:val="0E1E1875"/>
    <w:rsid w:val="0E236E8B"/>
    <w:rsid w:val="0E2844A2"/>
    <w:rsid w:val="0E2A13FA"/>
    <w:rsid w:val="0E2D3866"/>
    <w:rsid w:val="0E2E1150"/>
    <w:rsid w:val="0E372937"/>
    <w:rsid w:val="0E381B23"/>
    <w:rsid w:val="0E4312DC"/>
    <w:rsid w:val="0E472E82"/>
    <w:rsid w:val="0E4E1A74"/>
    <w:rsid w:val="0E4F056B"/>
    <w:rsid w:val="0E57274B"/>
    <w:rsid w:val="0E573375"/>
    <w:rsid w:val="0E68151C"/>
    <w:rsid w:val="0E7019A5"/>
    <w:rsid w:val="0E743CFB"/>
    <w:rsid w:val="0E7616B1"/>
    <w:rsid w:val="0E76345F"/>
    <w:rsid w:val="0E7B0A75"/>
    <w:rsid w:val="0E8741E3"/>
    <w:rsid w:val="0E912047"/>
    <w:rsid w:val="0E9438E5"/>
    <w:rsid w:val="0EBC0BB3"/>
    <w:rsid w:val="0EBF31D3"/>
    <w:rsid w:val="0EC534F9"/>
    <w:rsid w:val="0EC57F43"/>
    <w:rsid w:val="0EC82D6E"/>
    <w:rsid w:val="0ECC194A"/>
    <w:rsid w:val="0ED100D3"/>
    <w:rsid w:val="0ED4462A"/>
    <w:rsid w:val="0F0547E3"/>
    <w:rsid w:val="0F0C5B71"/>
    <w:rsid w:val="0F296723"/>
    <w:rsid w:val="0F2A5FF8"/>
    <w:rsid w:val="0F2B4095"/>
    <w:rsid w:val="0F33613C"/>
    <w:rsid w:val="0F360E40"/>
    <w:rsid w:val="0F3800B9"/>
    <w:rsid w:val="0F386893"/>
    <w:rsid w:val="0F3A448D"/>
    <w:rsid w:val="0F5F6514"/>
    <w:rsid w:val="0F6F2253"/>
    <w:rsid w:val="0F827BE2"/>
    <w:rsid w:val="0F8676D2"/>
    <w:rsid w:val="0F8A6657"/>
    <w:rsid w:val="0FA01228"/>
    <w:rsid w:val="0FA14DA0"/>
    <w:rsid w:val="0FA35A55"/>
    <w:rsid w:val="0FB73B77"/>
    <w:rsid w:val="0FBA381F"/>
    <w:rsid w:val="0FC06194"/>
    <w:rsid w:val="0FC226D4"/>
    <w:rsid w:val="0FC45F6D"/>
    <w:rsid w:val="0FCD1104"/>
    <w:rsid w:val="0FD52407"/>
    <w:rsid w:val="0FD536AF"/>
    <w:rsid w:val="0FFE195E"/>
    <w:rsid w:val="101747CE"/>
    <w:rsid w:val="10207B26"/>
    <w:rsid w:val="10305890"/>
    <w:rsid w:val="1038642E"/>
    <w:rsid w:val="10391CFF"/>
    <w:rsid w:val="104C5B2B"/>
    <w:rsid w:val="10507CE0"/>
    <w:rsid w:val="105A290D"/>
    <w:rsid w:val="10680D0C"/>
    <w:rsid w:val="10711DBE"/>
    <w:rsid w:val="107F2118"/>
    <w:rsid w:val="107F6914"/>
    <w:rsid w:val="108A1444"/>
    <w:rsid w:val="108E6F60"/>
    <w:rsid w:val="109008EC"/>
    <w:rsid w:val="109202F8"/>
    <w:rsid w:val="10970A3B"/>
    <w:rsid w:val="109A5DD4"/>
    <w:rsid w:val="10A00FBB"/>
    <w:rsid w:val="10AD1847"/>
    <w:rsid w:val="10B1077E"/>
    <w:rsid w:val="10BF034F"/>
    <w:rsid w:val="10CC2794"/>
    <w:rsid w:val="10CF50A9"/>
    <w:rsid w:val="10F60887"/>
    <w:rsid w:val="11057EB1"/>
    <w:rsid w:val="110C1E59"/>
    <w:rsid w:val="111050AC"/>
    <w:rsid w:val="1119446F"/>
    <w:rsid w:val="1123010F"/>
    <w:rsid w:val="112A73BC"/>
    <w:rsid w:val="114E6636"/>
    <w:rsid w:val="11567578"/>
    <w:rsid w:val="1164103E"/>
    <w:rsid w:val="117346D4"/>
    <w:rsid w:val="117E017D"/>
    <w:rsid w:val="11A215CB"/>
    <w:rsid w:val="11E22BBA"/>
    <w:rsid w:val="11F3722A"/>
    <w:rsid w:val="11F46E22"/>
    <w:rsid w:val="11F748B7"/>
    <w:rsid w:val="120945EA"/>
    <w:rsid w:val="120D0096"/>
    <w:rsid w:val="12233E2B"/>
    <w:rsid w:val="12256842"/>
    <w:rsid w:val="122E4051"/>
    <w:rsid w:val="12376B29"/>
    <w:rsid w:val="12580C5A"/>
    <w:rsid w:val="125C0A33"/>
    <w:rsid w:val="12617194"/>
    <w:rsid w:val="12635AA8"/>
    <w:rsid w:val="12641821"/>
    <w:rsid w:val="12661A3D"/>
    <w:rsid w:val="126D6927"/>
    <w:rsid w:val="12771D3B"/>
    <w:rsid w:val="1293615E"/>
    <w:rsid w:val="12942106"/>
    <w:rsid w:val="129603EA"/>
    <w:rsid w:val="12985ECF"/>
    <w:rsid w:val="12B66520"/>
    <w:rsid w:val="12B72298"/>
    <w:rsid w:val="12BC2E57"/>
    <w:rsid w:val="12C624DB"/>
    <w:rsid w:val="12D6271E"/>
    <w:rsid w:val="12DE5EAC"/>
    <w:rsid w:val="12E019C1"/>
    <w:rsid w:val="12E72594"/>
    <w:rsid w:val="12E9453E"/>
    <w:rsid w:val="12EB0F4D"/>
    <w:rsid w:val="12ED1816"/>
    <w:rsid w:val="12F2363A"/>
    <w:rsid w:val="12F71148"/>
    <w:rsid w:val="13043FE4"/>
    <w:rsid w:val="131274BA"/>
    <w:rsid w:val="13143247"/>
    <w:rsid w:val="1317163A"/>
    <w:rsid w:val="13185A32"/>
    <w:rsid w:val="13190148"/>
    <w:rsid w:val="13214689"/>
    <w:rsid w:val="13255454"/>
    <w:rsid w:val="13337B71"/>
    <w:rsid w:val="133631BD"/>
    <w:rsid w:val="133E02C4"/>
    <w:rsid w:val="134F24D1"/>
    <w:rsid w:val="13535BAE"/>
    <w:rsid w:val="135E2714"/>
    <w:rsid w:val="13655850"/>
    <w:rsid w:val="136570A3"/>
    <w:rsid w:val="136E0BA9"/>
    <w:rsid w:val="13785584"/>
    <w:rsid w:val="138403CC"/>
    <w:rsid w:val="13A22600"/>
    <w:rsid w:val="13AB3BAB"/>
    <w:rsid w:val="13AC16D1"/>
    <w:rsid w:val="13B5678E"/>
    <w:rsid w:val="13C0517C"/>
    <w:rsid w:val="13C54541"/>
    <w:rsid w:val="13DD1639"/>
    <w:rsid w:val="13E9022F"/>
    <w:rsid w:val="13F00D7F"/>
    <w:rsid w:val="13F53078"/>
    <w:rsid w:val="13F54E26"/>
    <w:rsid w:val="13F601E3"/>
    <w:rsid w:val="141845D8"/>
    <w:rsid w:val="1419436F"/>
    <w:rsid w:val="141F6347"/>
    <w:rsid w:val="142474B9"/>
    <w:rsid w:val="14295259"/>
    <w:rsid w:val="1437543F"/>
    <w:rsid w:val="143F0797"/>
    <w:rsid w:val="14447B5C"/>
    <w:rsid w:val="145B1B55"/>
    <w:rsid w:val="14643AAB"/>
    <w:rsid w:val="14757D15"/>
    <w:rsid w:val="147D6C97"/>
    <w:rsid w:val="14861F22"/>
    <w:rsid w:val="148E0A1B"/>
    <w:rsid w:val="14985E63"/>
    <w:rsid w:val="149B539A"/>
    <w:rsid w:val="149E726C"/>
    <w:rsid w:val="14A16D5C"/>
    <w:rsid w:val="14B45D41"/>
    <w:rsid w:val="14B52807"/>
    <w:rsid w:val="14B940A6"/>
    <w:rsid w:val="14CD18FF"/>
    <w:rsid w:val="14D40EDF"/>
    <w:rsid w:val="14E05AD6"/>
    <w:rsid w:val="14E52CE5"/>
    <w:rsid w:val="14EA24B1"/>
    <w:rsid w:val="14ED1FA1"/>
    <w:rsid w:val="14EF1875"/>
    <w:rsid w:val="15086DDB"/>
    <w:rsid w:val="15107A3E"/>
    <w:rsid w:val="151D3FF9"/>
    <w:rsid w:val="152C2AC9"/>
    <w:rsid w:val="152E68AD"/>
    <w:rsid w:val="153320AA"/>
    <w:rsid w:val="154F4A0A"/>
    <w:rsid w:val="156B7A9B"/>
    <w:rsid w:val="157E709D"/>
    <w:rsid w:val="158C5316"/>
    <w:rsid w:val="159E5049"/>
    <w:rsid w:val="15A46F09"/>
    <w:rsid w:val="15B078C1"/>
    <w:rsid w:val="15C56A7A"/>
    <w:rsid w:val="15C90318"/>
    <w:rsid w:val="15CE592F"/>
    <w:rsid w:val="15D942D4"/>
    <w:rsid w:val="15DD7F41"/>
    <w:rsid w:val="15E654B0"/>
    <w:rsid w:val="15E87B0A"/>
    <w:rsid w:val="15F13E14"/>
    <w:rsid w:val="160C349C"/>
    <w:rsid w:val="16175528"/>
    <w:rsid w:val="16220CB8"/>
    <w:rsid w:val="162639BD"/>
    <w:rsid w:val="16284DBE"/>
    <w:rsid w:val="163C45CB"/>
    <w:rsid w:val="163E78B3"/>
    <w:rsid w:val="164F49D9"/>
    <w:rsid w:val="166149F5"/>
    <w:rsid w:val="166938A9"/>
    <w:rsid w:val="16924802"/>
    <w:rsid w:val="169B1906"/>
    <w:rsid w:val="16A70E36"/>
    <w:rsid w:val="16AF5960"/>
    <w:rsid w:val="16BB00FC"/>
    <w:rsid w:val="16C05C33"/>
    <w:rsid w:val="16C1240B"/>
    <w:rsid w:val="16CF7BB0"/>
    <w:rsid w:val="16E3365C"/>
    <w:rsid w:val="16E56FB9"/>
    <w:rsid w:val="16EA02A4"/>
    <w:rsid w:val="16ED44DA"/>
    <w:rsid w:val="16F037EC"/>
    <w:rsid w:val="16F05D79"/>
    <w:rsid w:val="16F20C15"/>
    <w:rsid w:val="16F47617"/>
    <w:rsid w:val="17035AAC"/>
    <w:rsid w:val="170E0095"/>
    <w:rsid w:val="170F61FF"/>
    <w:rsid w:val="17357F9E"/>
    <w:rsid w:val="174A5489"/>
    <w:rsid w:val="174C5442"/>
    <w:rsid w:val="17575DF8"/>
    <w:rsid w:val="176536DD"/>
    <w:rsid w:val="1773273B"/>
    <w:rsid w:val="17A73371"/>
    <w:rsid w:val="17B1375A"/>
    <w:rsid w:val="17B551C6"/>
    <w:rsid w:val="17C36FE9"/>
    <w:rsid w:val="17CE7E68"/>
    <w:rsid w:val="17D34F47"/>
    <w:rsid w:val="17D9417B"/>
    <w:rsid w:val="17DD62FD"/>
    <w:rsid w:val="17ED0AC9"/>
    <w:rsid w:val="18041ADC"/>
    <w:rsid w:val="180D1A2A"/>
    <w:rsid w:val="180D2E11"/>
    <w:rsid w:val="18163530"/>
    <w:rsid w:val="181B6E25"/>
    <w:rsid w:val="18221F62"/>
    <w:rsid w:val="18273A1C"/>
    <w:rsid w:val="18345693"/>
    <w:rsid w:val="18414ADE"/>
    <w:rsid w:val="185D5BB3"/>
    <w:rsid w:val="18820AF3"/>
    <w:rsid w:val="188C0606"/>
    <w:rsid w:val="188E75F7"/>
    <w:rsid w:val="189141D1"/>
    <w:rsid w:val="18915F90"/>
    <w:rsid w:val="189C102D"/>
    <w:rsid w:val="18BD7EDC"/>
    <w:rsid w:val="18CC1571"/>
    <w:rsid w:val="18D07C10"/>
    <w:rsid w:val="18E35B95"/>
    <w:rsid w:val="18ED431E"/>
    <w:rsid w:val="18EF0C19"/>
    <w:rsid w:val="18F338FE"/>
    <w:rsid w:val="18F356AC"/>
    <w:rsid w:val="190F0D72"/>
    <w:rsid w:val="1910625E"/>
    <w:rsid w:val="19131867"/>
    <w:rsid w:val="191915B7"/>
    <w:rsid w:val="19197809"/>
    <w:rsid w:val="19295389"/>
    <w:rsid w:val="19297320"/>
    <w:rsid w:val="19305B42"/>
    <w:rsid w:val="193A32DB"/>
    <w:rsid w:val="194E5C30"/>
    <w:rsid w:val="19594E32"/>
    <w:rsid w:val="19701069"/>
    <w:rsid w:val="197113F3"/>
    <w:rsid w:val="19720173"/>
    <w:rsid w:val="19801636"/>
    <w:rsid w:val="199778B1"/>
    <w:rsid w:val="19A25189"/>
    <w:rsid w:val="19B4147E"/>
    <w:rsid w:val="19B906A4"/>
    <w:rsid w:val="19BA3917"/>
    <w:rsid w:val="19BE5CBA"/>
    <w:rsid w:val="19BF2758"/>
    <w:rsid w:val="19C92FDD"/>
    <w:rsid w:val="19DA7B5E"/>
    <w:rsid w:val="19DE010A"/>
    <w:rsid w:val="19DE60A6"/>
    <w:rsid w:val="19E33973"/>
    <w:rsid w:val="19E73463"/>
    <w:rsid w:val="19ED7475"/>
    <w:rsid w:val="19EF3246"/>
    <w:rsid w:val="19F404B3"/>
    <w:rsid w:val="19F45B80"/>
    <w:rsid w:val="19FB1C0D"/>
    <w:rsid w:val="1A0F18A1"/>
    <w:rsid w:val="1A151BEA"/>
    <w:rsid w:val="1A165AF6"/>
    <w:rsid w:val="1A1A1877"/>
    <w:rsid w:val="1A2D14F5"/>
    <w:rsid w:val="1A2D1B38"/>
    <w:rsid w:val="1A3B68D1"/>
    <w:rsid w:val="1A453961"/>
    <w:rsid w:val="1A497808"/>
    <w:rsid w:val="1A4A1BD2"/>
    <w:rsid w:val="1A4E5290"/>
    <w:rsid w:val="1A5234B7"/>
    <w:rsid w:val="1A587EBD"/>
    <w:rsid w:val="1A5F2E0C"/>
    <w:rsid w:val="1A614364"/>
    <w:rsid w:val="1A680D9F"/>
    <w:rsid w:val="1A6C19A3"/>
    <w:rsid w:val="1A7F369B"/>
    <w:rsid w:val="1A9A6226"/>
    <w:rsid w:val="1AA43A9D"/>
    <w:rsid w:val="1AAA6AD3"/>
    <w:rsid w:val="1ABD41C4"/>
    <w:rsid w:val="1AC50C0E"/>
    <w:rsid w:val="1AC86E07"/>
    <w:rsid w:val="1ADC6D40"/>
    <w:rsid w:val="1AE44B93"/>
    <w:rsid w:val="1AE654C9"/>
    <w:rsid w:val="1AF53E41"/>
    <w:rsid w:val="1B0C2E76"/>
    <w:rsid w:val="1B155DAE"/>
    <w:rsid w:val="1B1B112A"/>
    <w:rsid w:val="1B1B16D1"/>
    <w:rsid w:val="1B25796C"/>
    <w:rsid w:val="1B26620D"/>
    <w:rsid w:val="1B31567C"/>
    <w:rsid w:val="1B520C73"/>
    <w:rsid w:val="1B5508A0"/>
    <w:rsid w:val="1B570174"/>
    <w:rsid w:val="1B604FA2"/>
    <w:rsid w:val="1B6805D3"/>
    <w:rsid w:val="1B6D7998"/>
    <w:rsid w:val="1B7D4190"/>
    <w:rsid w:val="1B7F1479"/>
    <w:rsid w:val="1B851185"/>
    <w:rsid w:val="1B855083"/>
    <w:rsid w:val="1B885957"/>
    <w:rsid w:val="1B8F3DB2"/>
    <w:rsid w:val="1BA333BA"/>
    <w:rsid w:val="1BA710FC"/>
    <w:rsid w:val="1BAA299A"/>
    <w:rsid w:val="1BB27AA1"/>
    <w:rsid w:val="1BC31CAE"/>
    <w:rsid w:val="1BC33A5C"/>
    <w:rsid w:val="1BC7021E"/>
    <w:rsid w:val="1BC82E20"/>
    <w:rsid w:val="1C0E2F29"/>
    <w:rsid w:val="1C123FA1"/>
    <w:rsid w:val="1C1D316C"/>
    <w:rsid w:val="1C35495A"/>
    <w:rsid w:val="1C390A70"/>
    <w:rsid w:val="1C3B2D78"/>
    <w:rsid w:val="1C47643B"/>
    <w:rsid w:val="1C493068"/>
    <w:rsid w:val="1C5D17BA"/>
    <w:rsid w:val="1C6C4D7A"/>
    <w:rsid w:val="1C735482"/>
    <w:rsid w:val="1C7529CF"/>
    <w:rsid w:val="1C784846"/>
    <w:rsid w:val="1C7D68D3"/>
    <w:rsid w:val="1C7F7983"/>
    <w:rsid w:val="1C821221"/>
    <w:rsid w:val="1C856F63"/>
    <w:rsid w:val="1C957532"/>
    <w:rsid w:val="1CAE0268"/>
    <w:rsid w:val="1CBF2475"/>
    <w:rsid w:val="1CC23D13"/>
    <w:rsid w:val="1CC54A7F"/>
    <w:rsid w:val="1CCA4052"/>
    <w:rsid w:val="1CCE090A"/>
    <w:rsid w:val="1CE04199"/>
    <w:rsid w:val="1CE522D3"/>
    <w:rsid w:val="1CE81FFB"/>
    <w:rsid w:val="1CF716BE"/>
    <w:rsid w:val="1CFC7225"/>
    <w:rsid w:val="1CFD2EC8"/>
    <w:rsid w:val="1D086C04"/>
    <w:rsid w:val="1D162D12"/>
    <w:rsid w:val="1D196BB9"/>
    <w:rsid w:val="1D1A564F"/>
    <w:rsid w:val="1D1A58FD"/>
    <w:rsid w:val="1D1B1F0C"/>
    <w:rsid w:val="1D2624F4"/>
    <w:rsid w:val="1D28626C"/>
    <w:rsid w:val="1D502C3B"/>
    <w:rsid w:val="1D6D1ED1"/>
    <w:rsid w:val="1D7A45EE"/>
    <w:rsid w:val="1D8334A3"/>
    <w:rsid w:val="1D8401F2"/>
    <w:rsid w:val="1D8F1C13"/>
    <w:rsid w:val="1D8F539A"/>
    <w:rsid w:val="1D921938"/>
    <w:rsid w:val="1D970CFC"/>
    <w:rsid w:val="1D9D7CAB"/>
    <w:rsid w:val="1DA0111B"/>
    <w:rsid w:val="1DA17DCD"/>
    <w:rsid w:val="1DBC4B82"/>
    <w:rsid w:val="1DC35F95"/>
    <w:rsid w:val="1DD84D2C"/>
    <w:rsid w:val="1DDC2BB3"/>
    <w:rsid w:val="1DE2466D"/>
    <w:rsid w:val="1DE63A32"/>
    <w:rsid w:val="1DE92160"/>
    <w:rsid w:val="1DFF412F"/>
    <w:rsid w:val="1E0D5462"/>
    <w:rsid w:val="1E0E6810"/>
    <w:rsid w:val="1E1467F1"/>
    <w:rsid w:val="1E383DE6"/>
    <w:rsid w:val="1E3A6F5B"/>
    <w:rsid w:val="1E3E28B1"/>
    <w:rsid w:val="1E4B251F"/>
    <w:rsid w:val="1E4D00B7"/>
    <w:rsid w:val="1E7215BD"/>
    <w:rsid w:val="1E783E6F"/>
    <w:rsid w:val="1E7B397E"/>
    <w:rsid w:val="1E7D6144"/>
    <w:rsid w:val="1E8223CA"/>
    <w:rsid w:val="1E860000"/>
    <w:rsid w:val="1E8E3AE0"/>
    <w:rsid w:val="1EA96EF7"/>
    <w:rsid w:val="1EAE09F3"/>
    <w:rsid w:val="1ECE2E43"/>
    <w:rsid w:val="1ED611AE"/>
    <w:rsid w:val="1EE2442B"/>
    <w:rsid w:val="1F186988"/>
    <w:rsid w:val="1F1A1638"/>
    <w:rsid w:val="1F323F18"/>
    <w:rsid w:val="1F331075"/>
    <w:rsid w:val="1F420707"/>
    <w:rsid w:val="1F4B528A"/>
    <w:rsid w:val="1F4E5117"/>
    <w:rsid w:val="1F552C1D"/>
    <w:rsid w:val="1F5F0911"/>
    <w:rsid w:val="1F6C249F"/>
    <w:rsid w:val="1F7237CF"/>
    <w:rsid w:val="1F8B3BE5"/>
    <w:rsid w:val="1F8B4890"/>
    <w:rsid w:val="1F941997"/>
    <w:rsid w:val="1F963B15"/>
    <w:rsid w:val="1F996FAD"/>
    <w:rsid w:val="1F9B36BD"/>
    <w:rsid w:val="1F9C2DE9"/>
    <w:rsid w:val="1FA65C9F"/>
    <w:rsid w:val="1FAA11BB"/>
    <w:rsid w:val="1FB2006F"/>
    <w:rsid w:val="1FC3227C"/>
    <w:rsid w:val="1FC535A1"/>
    <w:rsid w:val="1FC55FF4"/>
    <w:rsid w:val="1FDB17ED"/>
    <w:rsid w:val="1FDC4643"/>
    <w:rsid w:val="1FDC6E9A"/>
    <w:rsid w:val="1FE16BA6"/>
    <w:rsid w:val="1FE30A5F"/>
    <w:rsid w:val="1FE87181"/>
    <w:rsid w:val="1FEC2E48"/>
    <w:rsid w:val="201C2ED4"/>
    <w:rsid w:val="201C7BDE"/>
    <w:rsid w:val="203259DA"/>
    <w:rsid w:val="2039253E"/>
    <w:rsid w:val="204333BD"/>
    <w:rsid w:val="20486E58"/>
    <w:rsid w:val="204C0B71"/>
    <w:rsid w:val="205B0707"/>
    <w:rsid w:val="205B5FDD"/>
    <w:rsid w:val="206155F1"/>
    <w:rsid w:val="207E61A3"/>
    <w:rsid w:val="20831D29"/>
    <w:rsid w:val="20835234"/>
    <w:rsid w:val="208732AA"/>
    <w:rsid w:val="208C6B12"/>
    <w:rsid w:val="2096173F"/>
    <w:rsid w:val="209634ED"/>
    <w:rsid w:val="20A73A7E"/>
    <w:rsid w:val="20AF2801"/>
    <w:rsid w:val="20B77175"/>
    <w:rsid w:val="20B87521"/>
    <w:rsid w:val="20D26068"/>
    <w:rsid w:val="20E00C0C"/>
    <w:rsid w:val="20E05080"/>
    <w:rsid w:val="20F50BB5"/>
    <w:rsid w:val="2100305C"/>
    <w:rsid w:val="210A7A37"/>
    <w:rsid w:val="210B656E"/>
    <w:rsid w:val="212136FE"/>
    <w:rsid w:val="212A4878"/>
    <w:rsid w:val="21303941"/>
    <w:rsid w:val="213F3B84"/>
    <w:rsid w:val="21436003"/>
    <w:rsid w:val="214E4B54"/>
    <w:rsid w:val="215F4227"/>
    <w:rsid w:val="216220AB"/>
    <w:rsid w:val="21645D25"/>
    <w:rsid w:val="216655B5"/>
    <w:rsid w:val="217001E2"/>
    <w:rsid w:val="217D44BB"/>
    <w:rsid w:val="217D645B"/>
    <w:rsid w:val="218A6BE9"/>
    <w:rsid w:val="219263AA"/>
    <w:rsid w:val="21A26CF9"/>
    <w:rsid w:val="21B06830"/>
    <w:rsid w:val="21BB6248"/>
    <w:rsid w:val="21C854F4"/>
    <w:rsid w:val="21CE6CB6"/>
    <w:rsid w:val="21D270C2"/>
    <w:rsid w:val="21E309B4"/>
    <w:rsid w:val="21E60A3E"/>
    <w:rsid w:val="21E65C94"/>
    <w:rsid w:val="21E678F0"/>
    <w:rsid w:val="21F52787"/>
    <w:rsid w:val="21F7445F"/>
    <w:rsid w:val="21FA7AAB"/>
    <w:rsid w:val="22032E04"/>
    <w:rsid w:val="220F426C"/>
    <w:rsid w:val="22105521"/>
    <w:rsid w:val="2217065D"/>
    <w:rsid w:val="221B014E"/>
    <w:rsid w:val="223020E3"/>
    <w:rsid w:val="22316D8F"/>
    <w:rsid w:val="2251756D"/>
    <w:rsid w:val="22625D7D"/>
    <w:rsid w:val="226450E2"/>
    <w:rsid w:val="22812301"/>
    <w:rsid w:val="22851A6B"/>
    <w:rsid w:val="22873A35"/>
    <w:rsid w:val="22876D80"/>
    <w:rsid w:val="229F7099"/>
    <w:rsid w:val="22A75BF5"/>
    <w:rsid w:val="22B02A00"/>
    <w:rsid w:val="22BE3B65"/>
    <w:rsid w:val="22BF31CF"/>
    <w:rsid w:val="22C407E5"/>
    <w:rsid w:val="22C72083"/>
    <w:rsid w:val="22C95DFC"/>
    <w:rsid w:val="22CD2E1E"/>
    <w:rsid w:val="22D07892"/>
    <w:rsid w:val="22DD4185"/>
    <w:rsid w:val="22DE7BF2"/>
    <w:rsid w:val="22E01657"/>
    <w:rsid w:val="22F015DA"/>
    <w:rsid w:val="22F269CA"/>
    <w:rsid w:val="22FA6C92"/>
    <w:rsid w:val="230061ED"/>
    <w:rsid w:val="230F3EC3"/>
    <w:rsid w:val="23186F85"/>
    <w:rsid w:val="23247750"/>
    <w:rsid w:val="23264FFC"/>
    <w:rsid w:val="232D5FB9"/>
    <w:rsid w:val="233139A1"/>
    <w:rsid w:val="2331574F"/>
    <w:rsid w:val="23496F3C"/>
    <w:rsid w:val="235234DF"/>
    <w:rsid w:val="23580F2E"/>
    <w:rsid w:val="235F57E6"/>
    <w:rsid w:val="237044C9"/>
    <w:rsid w:val="237613B4"/>
    <w:rsid w:val="237F64BA"/>
    <w:rsid w:val="239301B8"/>
    <w:rsid w:val="23953F30"/>
    <w:rsid w:val="23A20D87"/>
    <w:rsid w:val="23B00D6A"/>
    <w:rsid w:val="23C14D25"/>
    <w:rsid w:val="23C15241"/>
    <w:rsid w:val="23DA474C"/>
    <w:rsid w:val="23DC390D"/>
    <w:rsid w:val="23E84E71"/>
    <w:rsid w:val="23E97DD8"/>
    <w:rsid w:val="23EE3640"/>
    <w:rsid w:val="23F13D6D"/>
    <w:rsid w:val="23F94CB4"/>
    <w:rsid w:val="241D03FB"/>
    <w:rsid w:val="241E4709"/>
    <w:rsid w:val="2420163B"/>
    <w:rsid w:val="2429568C"/>
    <w:rsid w:val="242A28CA"/>
    <w:rsid w:val="243A6885"/>
    <w:rsid w:val="2449107E"/>
    <w:rsid w:val="24562E5D"/>
    <w:rsid w:val="245636BF"/>
    <w:rsid w:val="245711E5"/>
    <w:rsid w:val="24575689"/>
    <w:rsid w:val="246758CC"/>
    <w:rsid w:val="246F2404"/>
    <w:rsid w:val="246F29D3"/>
    <w:rsid w:val="246F652F"/>
    <w:rsid w:val="24727DCD"/>
    <w:rsid w:val="247B3126"/>
    <w:rsid w:val="2480073C"/>
    <w:rsid w:val="2484390C"/>
    <w:rsid w:val="248C70E1"/>
    <w:rsid w:val="24A820CA"/>
    <w:rsid w:val="24C127B3"/>
    <w:rsid w:val="24C813B8"/>
    <w:rsid w:val="24D34D10"/>
    <w:rsid w:val="24D56B51"/>
    <w:rsid w:val="24EC4023"/>
    <w:rsid w:val="24F60A15"/>
    <w:rsid w:val="2500187D"/>
    <w:rsid w:val="251D41DD"/>
    <w:rsid w:val="25302162"/>
    <w:rsid w:val="253E148B"/>
    <w:rsid w:val="254672A4"/>
    <w:rsid w:val="2551032A"/>
    <w:rsid w:val="256112DB"/>
    <w:rsid w:val="256364E8"/>
    <w:rsid w:val="25657F57"/>
    <w:rsid w:val="256618A6"/>
    <w:rsid w:val="256E2C8A"/>
    <w:rsid w:val="25757B75"/>
    <w:rsid w:val="257B68D1"/>
    <w:rsid w:val="257B7624"/>
    <w:rsid w:val="25837E97"/>
    <w:rsid w:val="258424AE"/>
    <w:rsid w:val="25AE12D9"/>
    <w:rsid w:val="25B3069D"/>
    <w:rsid w:val="25C65314"/>
    <w:rsid w:val="25D22394"/>
    <w:rsid w:val="25DD75FB"/>
    <w:rsid w:val="25EC3BAF"/>
    <w:rsid w:val="25F25669"/>
    <w:rsid w:val="25F34F3E"/>
    <w:rsid w:val="261252BD"/>
    <w:rsid w:val="26160F73"/>
    <w:rsid w:val="262921E7"/>
    <w:rsid w:val="26326C25"/>
    <w:rsid w:val="26450103"/>
    <w:rsid w:val="26476AA4"/>
    <w:rsid w:val="26526108"/>
    <w:rsid w:val="26533F22"/>
    <w:rsid w:val="265A320F"/>
    <w:rsid w:val="267B565F"/>
    <w:rsid w:val="268F110A"/>
    <w:rsid w:val="269404CF"/>
    <w:rsid w:val="269B185D"/>
    <w:rsid w:val="26A16CD2"/>
    <w:rsid w:val="26A92A3D"/>
    <w:rsid w:val="26AF70B6"/>
    <w:rsid w:val="26C03072"/>
    <w:rsid w:val="26C06B34"/>
    <w:rsid w:val="26CD1C32"/>
    <w:rsid w:val="26E16C20"/>
    <w:rsid w:val="26EA27E4"/>
    <w:rsid w:val="26ED5E31"/>
    <w:rsid w:val="27007C09"/>
    <w:rsid w:val="27121DF6"/>
    <w:rsid w:val="272A6414"/>
    <w:rsid w:val="273879EA"/>
    <w:rsid w:val="273A72C8"/>
    <w:rsid w:val="274517C9"/>
    <w:rsid w:val="274A6DDF"/>
    <w:rsid w:val="275A34C6"/>
    <w:rsid w:val="27604855"/>
    <w:rsid w:val="276B30DD"/>
    <w:rsid w:val="27702138"/>
    <w:rsid w:val="278F7045"/>
    <w:rsid w:val="2795508D"/>
    <w:rsid w:val="27AD1C9C"/>
    <w:rsid w:val="27B07B81"/>
    <w:rsid w:val="27B506FD"/>
    <w:rsid w:val="27BF5A1F"/>
    <w:rsid w:val="27C06B09"/>
    <w:rsid w:val="27C767DD"/>
    <w:rsid w:val="27CE7A10"/>
    <w:rsid w:val="27D70D7A"/>
    <w:rsid w:val="27DD40F7"/>
    <w:rsid w:val="27E72880"/>
    <w:rsid w:val="27E7313D"/>
    <w:rsid w:val="27FC457D"/>
    <w:rsid w:val="27FE59A3"/>
    <w:rsid w:val="28096C9A"/>
    <w:rsid w:val="28227996"/>
    <w:rsid w:val="28285933"/>
    <w:rsid w:val="28317223"/>
    <w:rsid w:val="28321D4D"/>
    <w:rsid w:val="28327F9F"/>
    <w:rsid w:val="283C7070"/>
    <w:rsid w:val="284D2CF4"/>
    <w:rsid w:val="284E13CC"/>
    <w:rsid w:val="285735F9"/>
    <w:rsid w:val="28582611"/>
    <w:rsid w:val="285A74F6"/>
    <w:rsid w:val="28616AD6"/>
    <w:rsid w:val="2863467F"/>
    <w:rsid w:val="286D0FD7"/>
    <w:rsid w:val="287205BD"/>
    <w:rsid w:val="287902DB"/>
    <w:rsid w:val="287B1058"/>
    <w:rsid w:val="287E4F92"/>
    <w:rsid w:val="28877ECD"/>
    <w:rsid w:val="288B75B1"/>
    <w:rsid w:val="288F4C50"/>
    <w:rsid w:val="2890116A"/>
    <w:rsid w:val="289E75D4"/>
    <w:rsid w:val="28A40771"/>
    <w:rsid w:val="28A81794"/>
    <w:rsid w:val="28AC2DD8"/>
    <w:rsid w:val="28B210E0"/>
    <w:rsid w:val="28BC10FA"/>
    <w:rsid w:val="28D708F0"/>
    <w:rsid w:val="28D7763F"/>
    <w:rsid w:val="28E76FDC"/>
    <w:rsid w:val="29186A21"/>
    <w:rsid w:val="29220014"/>
    <w:rsid w:val="292559B5"/>
    <w:rsid w:val="2927562A"/>
    <w:rsid w:val="292A3BA1"/>
    <w:rsid w:val="292A7064"/>
    <w:rsid w:val="29312005"/>
    <w:rsid w:val="294F565E"/>
    <w:rsid w:val="2951173A"/>
    <w:rsid w:val="29520184"/>
    <w:rsid w:val="295977AD"/>
    <w:rsid w:val="297C080E"/>
    <w:rsid w:val="297E051F"/>
    <w:rsid w:val="298F4F7D"/>
    <w:rsid w:val="29B0010F"/>
    <w:rsid w:val="29C20452"/>
    <w:rsid w:val="29C56BF1"/>
    <w:rsid w:val="29CC61D1"/>
    <w:rsid w:val="29CF49DC"/>
    <w:rsid w:val="29D11D45"/>
    <w:rsid w:val="29D15596"/>
    <w:rsid w:val="29E65790"/>
    <w:rsid w:val="29F17EB7"/>
    <w:rsid w:val="2A07545B"/>
    <w:rsid w:val="2A090D1A"/>
    <w:rsid w:val="2A0A3194"/>
    <w:rsid w:val="2A17177D"/>
    <w:rsid w:val="2A2B739C"/>
    <w:rsid w:val="2A306760"/>
    <w:rsid w:val="2A497822"/>
    <w:rsid w:val="2A522B7B"/>
    <w:rsid w:val="2A6A2C93"/>
    <w:rsid w:val="2A722F22"/>
    <w:rsid w:val="2A7405DB"/>
    <w:rsid w:val="2A832B7B"/>
    <w:rsid w:val="2A886EB3"/>
    <w:rsid w:val="2A921A5A"/>
    <w:rsid w:val="2AAE645D"/>
    <w:rsid w:val="2ABE3D6C"/>
    <w:rsid w:val="2AC2484D"/>
    <w:rsid w:val="2AC33501"/>
    <w:rsid w:val="2AC33E99"/>
    <w:rsid w:val="2AC600A7"/>
    <w:rsid w:val="2AC62C21"/>
    <w:rsid w:val="2ADB5104"/>
    <w:rsid w:val="2ADF3CE2"/>
    <w:rsid w:val="2AEE66A5"/>
    <w:rsid w:val="2B035C23"/>
    <w:rsid w:val="2B195446"/>
    <w:rsid w:val="2B365FF8"/>
    <w:rsid w:val="2B3B3E95"/>
    <w:rsid w:val="2B51698E"/>
    <w:rsid w:val="2B593A95"/>
    <w:rsid w:val="2B5B3D99"/>
    <w:rsid w:val="2B6A5CA2"/>
    <w:rsid w:val="2B6C1A1A"/>
    <w:rsid w:val="2B6C374D"/>
    <w:rsid w:val="2B7803BF"/>
    <w:rsid w:val="2B84344D"/>
    <w:rsid w:val="2B857D3B"/>
    <w:rsid w:val="2B88413E"/>
    <w:rsid w:val="2B96287F"/>
    <w:rsid w:val="2BA016C4"/>
    <w:rsid w:val="2BA525BE"/>
    <w:rsid w:val="2BD82C0B"/>
    <w:rsid w:val="2BD9618A"/>
    <w:rsid w:val="2BEB0BE6"/>
    <w:rsid w:val="2BF0264B"/>
    <w:rsid w:val="2BF612AA"/>
    <w:rsid w:val="2C0A4D8F"/>
    <w:rsid w:val="2C0F2A0A"/>
    <w:rsid w:val="2C153EE5"/>
    <w:rsid w:val="2C22688D"/>
    <w:rsid w:val="2C2440A3"/>
    <w:rsid w:val="2C245E51"/>
    <w:rsid w:val="2C286591"/>
    <w:rsid w:val="2C3342E6"/>
    <w:rsid w:val="2C401C8E"/>
    <w:rsid w:val="2C412EA7"/>
    <w:rsid w:val="2C484235"/>
    <w:rsid w:val="2C644982"/>
    <w:rsid w:val="2C6646BB"/>
    <w:rsid w:val="2C680433"/>
    <w:rsid w:val="2C931228"/>
    <w:rsid w:val="2C932FD6"/>
    <w:rsid w:val="2CA13945"/>
    <w:rsid w:val="2CA60D2F"/>
    <w:rsid w:val="2CB76CC5"/>
    <w:rsid w:val="2CBA67B5"/>
    <w:rsid w:val="2CBC252D"/>
    <w:rsid w:val="2CCF04B2"/>
    <w:rsid w:val="2D090BBF"/>
    <w:rsid w:val="2D0B0DBF"/>
    <w:rsid w:val="2D0E7529"/>
    <w:rsid w:val="2D130FEA"/>
    <w:rsid w:val="2D1F0DCE"/>
    <w:rsid w:val="2D286E61"/>
    <w:rsid w:val="2D3227EF"/>
    <w:rsid w:val="2D3C773F"/>
    <w:rsid w:val="2D3E3E66"/>
    <w:rsid w:val="2D4A39AD"/>
    <w:rsid w:val="2D522E91"/>
    <w:rsid w:val="2D5B18F0"/>
    <w:rsid w:val="2D5C1A70"/>
    <w:rsid w:val="2D5E3D75"/>
    <w:rsid w:val="2D825525"/>
    <w:rsid w:val="2D9C753A"/>
    <w:rsid w:val="2D9D235F"/>
    <w:rsid w:val="2DC07DFB"/>
    <w:rsid w:val="2DC25921"/>
    <w:rsid w:val="2DD90EBD"/>
    <w:rsid w:val="2DE03FF9"/>
    <w:rsid w:val="2DEA1016"/>
    <w:rsid w:val="2E0B376C"/>
    <w:rsid w:val="2E112405"/>
    <w:rsid w:val="2E154A26"/>
    <w:rsid w:val="2E1C695C"/>
    <w:rsid w:val="2E276698"/>
    <w:rsid w:val="2E36630F"/>
    <w:rsid w:val="2E3F0D4C"/>
    <w:rsid w:val="2E4647A4"/>
    <w:rsid w:val="2E553788"/>
    <w:rsid w:val="2E627104"/>
    <w:rsid w:val="2E6C1D31"/>
    <w:rsid w:val="2E731E1D"/>
    <w:rsid w:val="2E742A02"/>
    <w:rsid w:val="2E981C30"/>
    <w:rsid w:val="2E9B2F60"/>
    <w:rsid w:val="2EAB1197"/>
    <w:rsid w:val="2EB6100E"/>
    <w:rsid w:val="2EB61512"/>
    <w:rsid w:val="2EC456C9"/>
    <w:rsid w:val="2EC97183"/>
    <w:rsid w:val="2ED00512"/>
    <w:rsid w:val="2ED203AA"/>
    <w:rsid w:val="2EEF6BEA"/>
    <w:rsid w:val="2EF901C6"/>
    <w:rsid w:val="2EFB4539"/>
    <w:rsid w:val="2F01691D"/>
    <w:rsid w:val="2F106B60"/>
    <w:rsid w:val="2F186ED9"/>
    <w:rsid w:val="2F191EB9"/>
    <w:rsid w:val="2F1E2D78"/>
    <w:rsid w:val="2F204FF5"/>
    <w:rsid w:val="2F230642"/>
    <w:rsid w:val="2F2C593F"/>
    <w:rsid w:val="2F350375"/>
    <w:rsid w:val="2F370591"/>
    <w:rsid w:val="2F3878B6"/>
    <w:rsid w:val="2F397E65"/>
    <w:rsid w:val="2F4058E6"/>
    <w:rsid w:val="2F4D1B62"/>
    <w:rsid w:val="2F546A4D"/>
    <w:rsid w:val="2F594E83"/>
    <w:rsid w:val="2F6D7CD1"/>
    <w:rsid w:val="2F713AA3"/>
    <w:rsid w:val="2F726A97"/>
    <w:rsid w:val="2F7C0A65"/>
    <w:rsid w:val="2F7E3ACA"/>
    <w:rsid w:val="2F7F69D4"/>
    <w:rsid w:val="2F963509"/>
    <w:rsid w:val="2F966333"/>
    <w:rsid w:val="2F9E416C"/>
    <w:rsid w:val="2FA07FC3"/>
    <w:rsid w:val="2FB90FA6"/>
    <w:rsid w:val="2FBF7CFB"/>
    <w:rsid w:val="2FC44AB7"/>
    <w:rsid w:val="2FC6495B"/>
    <w:rsid w:val="2FC8743B"/>
    <w:rsid w:val="2FDB64F2"/>
    <w:rsid w:val="2FEC137B"/>
    <w:rsid w:val="2FF12F99"/>
    <w:rsid w:val="2FF344B8"/>
    <w:rsid w:val="30202DD3"/>
    <w:rsid w:val="30255FBD"/>
    <w:rsid w:val="302B6807"/>
    <w:rsid w:val="303164B3"/>
    <w:rsid w:val="303A0D92"/>
    <w:rsid w:val="303A4533"/>
    <w:rsid w:val="30405223"/>
    <w:rsid w:val="30450A8C"/>
    <w:rsid w:val="30500CD2"/>
    <w:rsid w:val="30510BA3"/>
    <w:rsid w:val="3055748A"/>
    <w:rsid w:val="306275D0"/>
    <w:rsid w:val="306B3238"/>
    <w:rsid w:val="306E3B3E"/>
    <w:rsid w:val="30765602"/>
    <w:rsid w:val="307D0225"/>
    <w:rsid w:val="30915A7F"/>
    <w:rsid w:val="309A179F"/>
    <w:rsid w:val="309C2739"/>
    <w:rsid w:val="30A02DE0"/>
    <w:rsid w:val="30AD2AC5"/>
    <w:rsid w:val="30B1358F"/>
    <w:rsid w:val="30BE3647"/>
    <w:rsid w:val="30C44FA4"/>
    <w:rsid w:val="30CB732B"/>
    <w:rsid w:val="30D36097"/>
    <w:rsid w:val="30D40B16"/>
    <w:rsid w:val="30DF2918"/>
    <w:rsid w:val="30FE1ACC"/>
    <w:rsid w:val="31005007"/>
    <w:rsid w:val="31024FC4"/>
    <w:rsid w:val="31177BD2"/>
    <w:rsid w:val="31304977"/>
    <w:rsid w:val="31434FCB"/>
    <w:rsid w:val="31490108"/>
    <w:rsid w:val="3162252D"/>
    <w:rsid w:val="31850AF8"/>
    <w:rsid w:val="319C292D"/>
    <w:rsid w:val="31A43590"/>
    <w:rsid w:val="31BA17ED"/>
    <w:rsid w:val="31BB2DB3"/>
    <w:rsid w:val="31BC3B44"/>
    <w:rsid w:val="31C27E77"/>
    <w:rsid w:val="31CF2D03"/>
    <w:rsid w:val="31FB3AF8"/>
    <w:rsid w:val="320145D6"/>
    <w:rsid w:val="320C1861"/>
    <w:rsid w:val="32121A06"/>
    <w:rsid w:val="32147EFA"/>
    <w:rsid w:val="321737D2"/>
    <w:rsid w:val="321C4663"/>
    <w:rsid w:val="322F554F"/>
    <w:rsid w:val="323112C7"/>
    <w:rsid w:val="32430FFB"/>
    <w:rsid w:val="32470AEB"/>
    <w:rsid w:val="324A6F3A"/>
    <w:rsid w:val="32560D2E"/>
    <w:rsid w:val="325D030E"/>
    <w:rsid w:val="3267118D"/>
    <w:rsid w:val="326A06F8"/>
    <w:rsid w:val="326A47D9"/>
    <w:rsid w:val="327641E0"/>
    <w:rsid w:val="327E68D5"/>
    <w:rsid w:val="327E7C9A"/>
    <w:rsid w:val="32990C1B"/>
    <w:rsid w:val="32AE46C6"/>
    <w:rsid w:val="32BD2B5B"/>
    <w:rsid w:val="32C57C62"/>
    <w:rsid w:val="32C739DA"/>
    <w:rsid w:val="32C91500"/>
    <w:rsid w:val="32D805F7"/>
    <w:rsid w:val="32DF6F75"/>
    <w:rsid w:val="32E0684A"/>
    <w:rsid w:val="32E13C24"/>
    <w:rsid w:val="32E4434E"/>
    <w:rsid w:val="32E46A4C"/>
    <w:rsid w:val="32E72A9F"/>
    <w:rsid w:val="32F32937"/>
    <w:rsid w:val="32F7161B"/>
    <w:rsid w:val="32FA0F35"/>
    <w:rsid w:val="33062754"/>
    <w:rsid w:val="330D3AE3"/>
    <w:rsid w:val="33152997"/>
    <w:rsid w:val="331C5AD4"/>
    <w:rsid w:val="331F3816"/>
    <w:rsid w:val="33233306"/>
    <w:rsid w:val="33385F35"/>
    <w:rsid w:val="33454F3E"/>
    <w:rsid w:val="33525999"/>
    <w:rsid w:val="33686F6B"/>
    <w:rsid w:val="33693740"/>
    <w:rsid w:val="338D69D1"/>
    <w:rsid w:val="339064C2"/>
    <w:rsid w:val="33A361F5"/>
    <w:rsid w:val="33A53D1B"/>
    <w:rsid w:val="33AB6628"/>
    <w:rsid w:val="33B2580B"/>
    <w:rsid w:val="33B90210"/>
    <w:rsid w:val="33BE632D"/>
    <w:rsid w:val="33C35AB2"/>
    <w:rsid w:val="33C72A37"/>
    <w:rsid w:val="33CA3782"/>
    <w:rsid w:val="33CD5020"/>
    <w:rsid w:val="33D24AC0"/>
    <w:rsid w:val="33E660E2"/>
    <w:rsid w:val="33EB1760"/>
    <w:rsid w:val="3405687B"/>
    <w:rsid w:val="34087DDA"/>
    <w:rsid w:val="340D7B12"/>
    <w:rsid w:val="340E60CA"/>
    <w:rsid w:val="34113CE5"/>
    <w:rsid w:val="34121A1E"/>
    <w:rsid w:val="342866FA"/>
    <w:rsid w:val="342B1D46"/>
    <w:rsid w:val="342F2E1F"/>
    <w:rsid w:val="3437222B"/>
    <w:rsid w:val="34452E08"/>
    <w:rsid w:val="34473024"/>
    <w:rsid w:val="34603B6C"/>
    <w:rsid w:val="34727975"/>
    <w:rsid w:val="34763909"/>
    <w:rsid w:val="34796F56"/>
    <w:rsid w:val="3491604D"/>
    <w:rsid w:val="34963664"/>
    <w:rsid w:val="34980548"/>
    <w:rsid w:val="3499585A"/>
    <w:rsid w:val="349B3370"/>
    <w:rsid w:val="349C4103"/>
    <w:rsid w:val="34A264AC"/>
    <w:rsid w:val="34A46850"/>
    <w:rsid w:val="34E32B95"/>
    <w:rsid w:val="34E70363"/>
    <w:rsid w:val="34F44097"/>
    <w:rsid w:val="34FF56AD"/>
    <w:rsid w:val="35095B99"/>
    <w:rsid w:val="351378B6"/>
    <w:rsid w:val="35215623"/>
    <w:rsid w:val="35215FAD"/>
    <w:rsid w:val="35246EC1"/>
    <w:rsid w:val="35251F0B"/>
    <w:rsid w:val="35297CDE"/>
    <w:rsid w:val="35384554"/>
    <w:rsid w:val="353C7824"/>
    <w:rsid w:val="355377A7"/>
    <w:rsid w:val="355439C8"/>
    <w:rsid w:val="355552CD"/>
    <w:rsid w:val="355D23D3"/>
    <w:rsid w:val="359A41F0"/>
    <w:rsid w:val="35AB75E3"/>
    <w:rsid w:val="35AC3B58"/>
    <w:rsid w:val="35D7582E"/>
    <w:rsid w:val="35E13004"/>
    <w:rsid w:val="35E5310E"/>
    <w:rsid w:val="35E93C67"/>
    <w:rsid w:val="35EC556F"/>
    <w:rsid w:val="35EE61E8"/>
    <w:rsid w:val="35FA6C63"/>
    <w:rsid w:val="36026474"/>
    <w:rsid w:val="36026E3B"/>
    <w:rsid w:val="362B302C"/>
    <w:rsid w:val="362C24D2"/>
    <w:rsid w:val="362D3068"/>
    <w:rsid w:val="363475D8"/>
    <w:rsid w:val="363F41EB"/>
    <w:rsid w:val="36462E68"/>
    <w:rsid w:val="36483084"/>
    <w:rsid w:val="36501E44"/>
    <w:rsid w:val="36525CB0"/>
    <w:rsid w:val="36606A0E"/>
    <w:rsid w:val="3679323D"/>
    <w:rsid w:val="368045CB"/>
    <w:rsid w:val="369C55C2"/>
    <w:rsid w:val="369D517D"/>
    <w:rsid w:val="369D638C"/>
    <w:rsid w:val="36B349A1"/>
    <w:rsid w:val="36B34AB1"/>
    <w:rsid w:val="36B9188B"/>
    <w:rsid w:val="36BA5D2F"/>
    <w:rsid w:val="36BB3856"/>
    <w:rsid w:val="36C52BBB"/>
    <w:rsid w:val="36C75DD7"/>
    <w:rsid w:val="36CA24DE"/>
    <w:rsid w:val="36CE5337"/>
    <w:rsid w:val="36D6115D"/>
    <w:rsid w:val="36DF7D3A"/>
    <w:rsid w:val="36FB736D"/>
    <w:rsid w:val="36FF7010"/>
    <w:rsid w:val="3703099D"/>
    <w:rsid w:val="37160A8C"/>
    <w:rsid w:val="371D7A76"/>
    <w:rsid w:val="371F5C7A"/>
    <w:rsid w:val="3733163E"/>
    <w:rsid w:val="37494B93"/>
    <w:rsid w:val="37571CB5"/>
    <w:rsid w:val="376143FD"/>
    <w:rsid w:val="37695060"/>
    <w:rsid w:val="376B702A"/>
    <w:rsid w:val="376E08C8"/>
    <w:rsid w:val="37752FE1"/>
    <w:rsid w:val="37797999"/>
    <w:rsid w:val="377D0B0B"/>
    <w:rsid w:val="378F4C3D"/>
    <w:rsid w:val="37955E55"/>
    <w:rsid w:val="379E173C"/>
    <w:rsid w:val="37B704C1"/>
    <w:rsid w:val="37BA0A4D"/>
    <w:rsid w:val="37D60F43"/>
    <w:rsid w:val="37E11D63"/>
    <w:rsid w:val="37E2030F"/>
    <w:rsid w:val="37E435A6"/>
    <w:rsid w:val="37E56889"/>
    <w:rsid w:val="37F0752F"/>
    <w:rsid w:val="37F33FF9"/>
    <w:rsid w:val="37F45271"/>
    <w:rsid w:val="37F708BD"/>
    <w:rsid w:val="380C7745"/>
    <w:rsid w:val="38100FD4"/>
    <w:rsid w:val="3810197F"/>
    <w:rsid w:val="38194CD8"/>
    <w:rsid w:val="38244865"/>
    <w:rsid w:val="38363CB9"/>
    <w:rsid w:val="383C4522"/>
    <w:rsid w:val="38446F04"/>
    <w:rsid w:val="384A6C3F"/>
    <w:rsid w:val="385201EA"/>
    <w:rsid w:val="386341A5"/>
    <w:rsid w:val="386F2B01"/>
    <w:rsid w:val="387067CD"/>
    <w:rsid w:val="387E2D8D"/>
    <w:rsid w:val="388C002D"/>
    <w:rsid w:val="389F1CEF"/>
    <w:rsid w:val="38AE6CD0"/>
    <w:rsid w:val="38B14F10"/>
    <w:rsid w:val="38B778E0"/>
    <w:rsid w:val="38D64977"/>
    <w:rsid w:val="38E52E0C"/>
    <w:rsid w:val="38E63F65"/>
    <w:rsid w:val="38E946AA"/>
    <w:rsid w:val="38EA0422"/>
    <w:rsid w:val="38ED3A6E"/>
    <w:rsid w:val="39045899"/>
    <w:rsid w:val="39072D82"/>
    <w:rsid w:val="390E5EBF"/>
    <w:rsid w:val="392C27E9"/>
    <w:rsid w:val="392C4941"/>
    <w:rsid w:val="393C0822"/>
    <w:rsid w:val="393C6ED0"/>
    <w:rsid w:val="39412DE9"/>
    <w:rsid w:val="3944293D"/>
    <w:rsid w:val="394538AA"/>
    <w:rsid w:val="3952389C"/>
    <w:rsid w:val="39567866"/>
    <w:rsid w:val="39574E30"/>
    <w:rsid w:val="396B14B6"/>
    <w:rsid w:val="396B3311"/>
    <w:rsid w:val="39724873"/>
    <w:rsid w:val="39731DE0"/>
    <w:rsid w:val="39792058"/>
    <w:rsid w:val="397C3770"/>
    <w:rsid w:val="399E59B7"/>
    <w:rsid w:val="39A82FD8"/>
    <w:rsid w:val="39B37F2C"/>
    <w:rsid w:val="39B747A8"/>
    <w:rsid w:val="39D72754"/>
    <w:rsid w:val="39DC5FBD"/>
    <w:rsid w:val="39E0100E"/>
    <w:rsid w:val="3A092B2A"/>
    <w:rsid w:val="3A1C5C3D"/>
    <w:rsid w:val="3A241712"/>
    <w:rsid w:val="3A3000B7"/>
    <w:rsid w:val="3A347BA7"/>
    <w:rsid w:val="3A3A5A89"/>
    <w:rsid w:val="3A453BBB"/>
    <w:rsid w:val="3A5E5E95"/>
    <w:rsid w:val="3A6063C4"/>
    <w:rsid w:val="3A612966"/>
    <w:rsid w:val="3A7C154E"/>
    <w:rsid w:val="3A836438"/>
    <w:rsid w:val="3A8504E7"/>
    <w:rsid w:val="3A8D5509"/>
    <w:rsid w:val="3A9568B4"/>
    <w:rsid w:val="3A9645B9"/>
    <w:rsid w:val="3AA27206"/>
    <w:rsid w:val="3AA54601"/>
    <w:rsid w:val="3AB13976"/>
    <w:rsid w:val="3AB253F0"/>
    <w:rsid w:val="3AC32CD9"/>
    <w:rsid w:val="3ACC3228"/>
    <w:rsid w:val="3AD969A0"/>
    <w:rsid w:val="3AED7D56"/>
    <w:rsid w:val="3AEE41FA"/>
    <w:rsid w:val="3AF92B9E"/>
    <w:rsid w:val="3B0F23C2"/>
    <w:rsid w:val="3B133C60"/>
    <w:rsid w:val="3B1672AC"/>
    <w:rsid w:val="3B1B48C3"/>
    <w:rsid w:val="3B1F0857"/>
    <w:rsid w:val="3B205299"/>
    <w:rsid w:val="3B2319C9"/>
    <w:rsid w:val="3B3261B4"/>
    <w:rsid w:val="3B334302"/>
    <w:rsid w:val="3B40403F"/>
    <w:rsid w:val="3B547DD5"/>
    <w:rsid w:val="3B5B1ACD"/>
    <w:rsid w:val="3B691AD2"/>
    <w:rsid w:val="3B6A25AD"/>
    <w:rsid w:val="3B702E61"/>
    <w:rsid w:val="3B704E0C"/>
    <w:rsid w:val="3B82147C"/>
    <w:rsid w:val="3B844B5E"/>
    <w:rsid w:val="3B9D79CE"/>
    <w:rsid w:val="3BAC3B76"/>
    <w:rsid w:val="3BB464FC"/>
    <w:rsid w:val="3BB91D35"/>
    <w:rsid w:val="3BC116A7"/>
    <w:rsid w:val="3BC907C3"/>
    <w:rsid w:val="3BCB62E9"/>
    <w:rsid w:val="3BD2480D"/>
    <w:rsid w:val="3BD643C7"/>
    <w:rsid w:val="3BDB4C80"/>
    <w:rsid w:val="3BDC2AFB"/>
    <w:rsid w:val="3BE13D5E"/>
    <w:rsid w:val="3BE72F02"/>
    <w:rsid w:val="3BF23037"/>
    <w:rsid w:val="3BFA4E20"/>
    <w:rsid w:val="3C0812EB"/>
    <w:rsid w:val="3C146755"/>
    <w:rsid w:val="3C2D0B96"/>
    <w:rsid w:val="3C406CD7"/>
    <w:rsid w:val="3C421066"/>
    <w:rsid w:val="3C4D251E"/>
    <w:rsid w:val="3C687364"/>
    <w:rsid w:val="3C6E6982"/>
    <w:rsid w:val="3C784126"/>
    <w:rsid w:val="3C81109D"/>
    <w:rsid w:val="3C834BCA"/>
    <w:rsid w:val="3C954311"/>
    <w:rsid w:val="3CAD59EE"/>
    <w:rsid w:val="3CB50441"/>
    <w:rsid w:val="3CB72D11"/>
    <w:rsid w:val="3CB92304"/>
    <w:rsid w:val="3CBC5CAE"/>
    <w:rsid w:val="3CCA65A0"/>
    <w:rsid w:val="3CCC056A"/>
    <w:rsid w:val="3CD36678"/>
    <w:rsid w:val="3CDA4D98"/>
    <w:rsid w:val="3CDB64B3"/>
    <w:rsid w:val="3CE5162C"/>
    <w:rsid w:val="3CEA279F"/>
    <w:rsid w:val="3CF4361D"/>
    <w:rsid w:val="3CFA00B9"/>
    <w:rsid w:val="3D000381"/>
    <w:rsid w:val="3D0575D8"/>
    <w:rsid w:val="3D0C0967"/>
    <w:rsid w:val="3D210DFB"/>
    <w:rsid w:val="3D2D4322"/>
    <w:rsid w:val="3D3D31F6"/>
    <w:rsid w:val="3D3F0CAA"/>
    <w:rsid w:val="3D402D06"/>
    <w:rsid w:val="3D553670"/>
    <w:rsid w:val="3D5C24FC"/>
    <w:rsid w:val="3D712EC0"/>
    <w:rsid w:val="3D7D3613"/>
    <w:rsid w:val="3D807EFF"/>
    <w:rsid w:val="3D85116F"/>
    <w:rsid w:val="3DAA5EDB"/>
    <w:rsid w:val="3DAB3F75"/>
    <w:rsid w:val="3DB05550"/>
    <w:rsid w:val="3DB111C5"/>
    <w:rsid w:val="3DB42DAD"/>
    <w:rsid w:val="3DB936B9"/>
    <w:rsid w:val="3DBF7E2C"/>
    <w:rsid w:val="3DCA08B2"/>
    <w:rsid w:val="3DD2230B"/>
    <w:rsid w:val="3DE15271"/>
    <w:rsid w:val="3DF00289"/>
    <w:rsid w:val="3E015FF2"/>
    <w:rsid w:val="3E084DEA"/>
    <w:rsid w:val="3E0B50C2"/>
    <w:rsid w:val="3E1C107E"/>
    <w:rsid w:val="3E255455"/>
    <w:rsid w:val="3E2C4A1C"/>
    <w:rsid w:val="3E3F4D6C"/>
    <w:rsid w:val="3E5567D1"/>
    <w:rsid w:val="3E572BA5"/>
    <w:rsid w:val="3E5F0BD6"/>
    <w:rsid w:val="3E6D1488"/>
    <w:rsid w:val="3E8A248B"/>
    <w:rsid w:val="3E947DA4"/>
    <w:rsid w:val="3E970382"/>
    <w:rsid w:val="3E9C615D"/>
    <w:rsid w:val="3EA01CAF"/>
    <w:rsid w:val="3EA3354D"/>
    <w:rsid w:val="3EC31B0D"/>
    <w:rsid w:val="3EC3774B"/>
    <w:rsid w:val="3ECB530D"/>
    <w:rsid w:val="3ECF4342"/>
    <w:rsid w:val="3ED5122D"/>
    <w:rsid w:val="3EDD0E5E"/>
    <w:rsid w:val="3EE020AB"/>
    <w:rsid w:val="3EE13A0E"/>
    <w:rsid w:val="3EE31D20"/>
    <w:rsid w:val="3EE6343A"/>
    <w:rsid w:val="3EED6576"/>
    <w:rsid w:val="3EF73899"/>
    <w:rsid w:val="3F03148F"/>
    <w:rsid w:val="3F047A57"/>
    <w:rsid w:val="3F136AFC"/>
    <w:rsid w:val="3F225117"/>
    <w:rsid w:val="3F23468E"/>
    <w:rsid w:val="3F253F62"/>
    <w:rsid w:val="3F3C6758"/>
    <w:rsid w:val="3F4C14EF"/>
    <w:rsid w:val="3F6F093D"/>
    <w:rsid w:val="3F755F16"/>
    <w:rsid w:val="3F7E4973"/>
    <w:rsid w:val="3F863328"/>
    <w:rsid w:val="3F917849"/>
    <w:rsid w:val="3F982986"/>
    <w:rsid w:val="3F9B2476"/>
    <w:rsid w:val="3FAA090B"/>
    <w:rsid w:val="3FB157F6"/>
    <w:rsid w:val="3FB30AE9"/>
    <w:rsid w:val="3FBA0B4E"/>
    <w:rsid w:val="3FBC4B7C"/>
    <w:rsid w:val="3FC82AB0"/>
    <w:rsid w:val="3FD6429D"/>
    <w:rsid w:val="3FD974D5"/>
    <w:rsid w:val="3FDF2363"/>
    <w:rsid w:val="3FF04570"/>
    <w:rsid w:val="3FFC2A20"/>
    <w:rsid w:val="400D2F5B"/>
    <w:rsid w:val="40153FD6"/>
    <w:rsid w:val="4024421A"/>
    <w:rsid w:val="40297A82"/>
    <w:rsid w:val="402A7E81"/>
    <w:rsid w:val="403F2E01"/>
    <w:rsid w:val="40420B44"/>
    <w:rsid w:val="40460634"/>
    <w:rsid w:val="40474072"/>
    <w:rsid w:val="404B73D5"/>
    <w:rsid w:val="40532D51"/>
    <w:rsid w:val="40535305"/>
    <w:rsid w:val="40552625"/>
    <w:rsid w:val="40565C55"/>
    <w:rsid w:val="40782251"/>
    <w:rsid w:val="407F76A2"/>
    <w:rsid w:val="408E688B"/>
    <w:rsid w:val="4091433A"/>
    <w:rsid w:val="40973FE2"/>
    <w:rsid w:val="40A17301"/>
    <w:rsid w:val="40AB5F10"/>
    <w:rsid w:val="40AD420F"/>
    <w:rsid w:val="40BA692C"/>
    <w:rsid w:val="40BE591A"/>
    <w:rsid w:val="40E74E41"/>
    <w:rsid w:val="40E7597A"/>
    <w:rsid w:val="40E87EA8"/>
    <w:rsid w:val="40F331A8"/>
    <w:rsid w:val="410447F6"/>
    <w:rsid w:val="410C02CC"/>
    <w:rsid w:val="4110110A"/>
    <w:rsid w:val="412B35CA"/>
    <w:rsid w:val="41300E83"/>
    <w:rsid w:val="413E7E08"/>
    <w:rsid w:val="41461B77"/>
    <w:rsid w:val="414B7D97"/>
    <w:rsid w:val="41523008"/>
    <w:rsid w:val="41594A24"/>
    <w:rsid w:val="41683C51"/>
    <w:rsid w:val="416E7E42"/>
    <w:rsid w:val="417842DB"/>
    <w:rsid w:val="418D42FC"/>
    <w:rsid w:val="41AD5619"/>
    <w:rsid w:val="41AE6491"/>
    <w:rsid w:val="41D57EC1"/>
    <w:rsid w:val="41D61543"/>
    <w:rsid w:val="41DB4DAC"/>
    <w:rsid w:val="41DD6904"/>
    <w:rsid w:val="41E579D9"/>
    <w:rsid w:val="41EE788A"/>
    <w:rsid w:val="41F36599"/>
    <w:rsid w:val="42022339"/>
    <w:rsid w:val="42042555"/>
    <w:rsid w:val="42096C6C"/>
    <w:rsid w:val="420D3D9E"/>
    <w:rsid w:val="420E4E01"/>
    <w:rsid w:val="42204EB5"/>
    <w:rsid w:val="422A1164"/>
    <w:rsid w:val="42300D22"/>
    <w:rsid w:val="42313867"/>
    <w:rsid w:val="42554263"/>
    <w:rsid w:val="426B06B7"/>
    <w:rsid w:val="426B4382"/>
    <w:rsid w:val="427C608B"/>
    <w:rsid w:val="428476C8"/>
    <w:rsid w:val="4285611E"/>
    <w:rsid w:val="429567F3"/>
    <w:rsid w:val="42A05B65"/>
    <w:rsid w:val="42A927C0"/>
    <w:rsid w:val="42BC4BDD"/>
    <w:rsid w:val="42BD5D7F"/>
    <w:rsid w:val="42C57F36"/>
    <w:rsid w:val="42C817D4"/>
    <w:rsid w:val="42D0566D"/>
    <w:rsid w:val="42EF4FB3"/>
    <w:rsid w:val="42EF6D61"/>
    <w:rsid w:val="42F34394"/>
    <w:rsid w:val="42FE169A"/>
    <w:rsid w:val="43000F6E"/>
    <w:rsid w:val="430A3B9B"/>
    <w:rsid w:val="43280E58"/>
    <w:rsid w:val="43430E5B"/>
    <w:rsid w:val="434626F9"/>
    <w:rsid w:val="43486781"/>
    <w:rsid w:val="43560034"/>
    <w:rsid w:val="43650564"/>
    <w:rsid w:val="43655275"/>
    <w:rsid w:val="43707776"/>
    <w:rsid w:val="43761230"/>
    <w:rsid w:val="43851473"/>
    <w:rsid w:val="4389537A"/>
    <w:rsid w:val="43A86F10"/>
    <w:rsid w:val="43B12268"/>
    <w:rsid w:val="43B46D2C"/>
    <w:rsid w:val="43B9736F"/>
    <w:rsid w:val="43EA577A"/>
    <w:rsid w:val="43FB0B74"/>
    <w:rsid w:val="44045442"/>
    <w:rsid w:val="440528B8"/>
    <w:rsid w:val="44093E52"/>
    <w:rsid w:val="440C35B1"/>
    <w:rsid w:val="440C3942"/>
    <w:rsid w:val="44114AB5"/>
    <w:rsid w:val="441822E7"/>
    <w:rsid w:val="44235A02"/>
    <w:rsid w:val="442477F8"/>
    <w:rsid w:val="44273761"/>
    <w:rsid w:val="442B664E"/>
    <w:rsid w:val="44337121"/>
    <w:rsid w:val="444529B0"/>
    <w:rsid w:val="44466E54"/>
    <w:rsid w:val="444A0E49"/>
    <w:rsid w:val="444B0E43"/>
    <w:rsid w:val="444E2B5F"/>
    <w:rsid w:val="44545E6E"/>
    <w:rsid w:val="445A46AE"/>
    <w:rsid w:val="44625310"/>
    <w:rsid w:val="446C43E1"/>
    <w:rsid w:val="447267EA"/>
    <w:rsid w:val="44775260"/>
    <w:rsid w:val="448E3695"/>
    <w:rsid w:val="44935E12"/>
    <w:rsid w:val="44983428"/>
    <w:rsid w:val="44B042CE"/>
    <w:rsid w:val="44BA339E"/>
    <w:rsid w:val="44C57A2C"/>
    <w:rsid w:val="44CB1108"/>
    <w:rsid w:val="44CF2E81"/>
    <w:rsid w:val="44D501D8"/>
    <w:rsid w:val="44E102B3"/>
    <w:rsid w:val="44E1092B"/>
    <w:rsid w:val="44E94161"/>
    <w:rsid w:val="44F53296"/>
    <w:rsid w:val="450044AC"/>
    <w:rsid w:val="450519DA"/>
    <w:rsid w:val="4507584A"/>
    <w:rsid w:val="4518122D"/>
    <w:rsid w:val="4521341D"/>
    <w:rsid w:val="452327A9"/>
    <w:rsid w:val="452657F2"/>
    <w:rsid w:val="452F3C74"/>
    <w:rsid w:val="45352A25"/>
    <w:rsid w:val="453F1D18"/>
    <w:rsid w:val="453F23B7"/>
    <w:rsid w:val="454C468D"/>
    <w:rsid w:val="455950B7"/>
    <w:rsid w:val="455A1FFE"/>
    <w:rsid w:val="455E1F7C"/>
    <w:rsid w:val="45612F66"/>
    <w:rsid w:val="456F4189"/>
    <w:rsid w:val="45703A5D"/>
    <w:rsid w:val="45734160"/>
    <w:rsid w:val="458A2D71"/>
    <w:rsid w:val="45A858ED"/>
    <w:rsid w:val="45AC718B"/>
    <w:rsid w:val="45C866D2"/>
    <w:rsid w:val="45E701C3"/>
    <w:rsid w:val="45F428E0"/>
    <w:rsid w:val="460878AF"/>
    <w:rsid w:val="46325D2D"/>
    <w:rsid w:val="463B050F"/>
    <w:rsid w:val="465515D1"/>
    <w:rsid w:val="465810C1"/>
    <w:rsid w:val="465A7935"/>
    <w:rsid w:val="466B149E"/>
    <w:rsid w:val="467001B9"/>
    <w:rsid w:val="46731A57"/>
    <w:rsid w:val="469750DA"/>
    <w:rsid w:val="469C7200"/>
    <w:rsid w:val="469F0A9E"/>
    <w:rsid w:val="46A64F82"/>
    <w:rsid w:val="46B60FA8"/>
    <w:rsid w:val="46C422B2"/>
    <w:rsid w:val="46C85AF8"/>
    <w:rsid w:val="46C93D6D"/>
    <w:rsid w:val="46DD15C6"/>
    <w:rsid w:val="46E42955"/>
    <w:rsid w:val="46EA51DB"/>
    <w:rsid w:val="470152B5"/>
    <w:rsid w:val="47017063"/>
    <w:rsid w:val="470C0C4B"/>
    <w:rsid w:val="470E261C"/>
    <w:rsid w:val="472D42FC"/>
    <w:rsid w:val="473236C0"/>
    <w:rsid w:val="47413903"/>
    <w:rsid w:val="47482EE3"/>
    <w:rsid w:val="474D4056"/>
    <w:rsid w:val="47574ED5"/>
    <w:rsid w:val="476018EA"/>
    <w:rsid w:val="4760647F"/>
    <w:rsid w:val="47717B2B"/>
    <w:rsid w:val="477C713E"/>
    <w:rsid w:val="477E4B57"/>
    <w:rsid w:val="477F5B92"/>
    <w:rsid w:val="47947C68"/>
    <w:rsid w:val="47C307BC"/>
    <w:rsid w:val="47CD7922"/>
    <w:rsid w:val="47CF7161"/>
    <w:rsid w:val="47D71576"/>
    <w:rsid w:val="47EA5D49"/>
    <w:rsid w:val="47F25B59"/>
    <w:rsid w:val="47FD3CCE"/>
    <w:rsid w:val="48087231"/>
    <w:rsid w:val="48111527"/>
    <w:rsid w:val="48164D90"/>
    <w:rsid w:val="481D7ECC"/>
    <w:rsid w:val="481E1E96"/>
    <w:rsid w:val="481E59F2"/>
    <w:rsid w:val="48311BC9"/>
    <w:rsid w:val="483B47F6"/>
    <w:rsid w:val="48401E0D"/>
    <w:rsid w:val="48474F49"/>
    <w:rsid w:val="48593705"/>
    <w:rsid w:val="48657AC5"/>
    <w:rsid w:val="487F2CC7"/>
    <w:rsid w:val="48831CF9"/>
    <w:rsid w:val="48922D28"/>
    <w:rsid w:val="489A776F"/>
    <w:rsid w:val="48AC74A2"/>
    <w:rsid w:val="48C813C5"/>
    <w:rsid w:val="48D662CD"/>
    <w:rsid w:val="48E27D20"/>
    <w:rsid w:val="48E85B4C"/>
    <w:rsid w:val="48F21359"/>
    <w:rsid w:val="48FB5B78"/>
    <w:rsid w:val="48FD7CFE"/>
    <w:rsid w:val="49061130"/>
    <w:rsid w:val="49170DBF"/>
    <w:rsid w:val="491B1FD3"/>
    <w:rsid w:val="491C4628"/>
    <w:rsid w:val="49213516"/>
    <w:rsid w:val="49357497"/>
    <w:rsid w:val="49425690"/>
    <w:rsid w:val="49463453"/>
    <w:rsid w:val="494D1444"/>
    <w:rsid w:val="494D2A33"/>
    <w:rsid w:val="49535B70"/>
    <w:rsid w:val="49655F9F"/>
    <w:rsid w:val="497F6965"/>
    <w:rsid w:val="498B7EAF"/>
    <w:rsid w:val="49AD1724"/>
    <w:rsid w:val="49BD7096"/>
    <w:rsid w:val="49CF51F6"/>
    <w:rsid w:val="49D24CE6"/>
    <w:rsid w:val="49E21A36"/>
    <w:rsid w:val="49E452A3"/>
    <w:rsid w:val="49E52C6C"/>
    <w:rsid w:val="49ED07B2"/>
    <w:rsid w:val="49F80027"/>
    <w:rsid w:val="49FA54BF"/>
    <w:rsid w:val="4A0D21C2"/>
    <w:rsid w:val="4A1C0B60"/>
    <w:rsid w:val="4A1C3430"/>
    <w:rsid w:val="4A262EFF"/>
    <w:rsid w:val="4A2E5E65"/>
    <w:rsid w:val="4A41223F"/>
    <w:rsid w:val="4A49144C"/>
    <w:rsid w:val="4A49370B"/>
    <w:rsid w:val="4A500C01"/>
    <w:rsid w:val="4A5B19A3"/>
    <w:rsid w:val="4A5D0A54"/>
    <w:rsid w:val="4A657908"/>
    <w:rsid w:val="4A804742"/>
    <w:rsid w:val="4A8A736F"/>
    <w:rsid w:val="4A933FBE"/>
    <w:rsid w:val="4A934476"/>
    <w:rsid w:val="4A9D315F"/>
    <w:rsid w:val="4AA22259"/>
    <w:rsid w:val="4AA30431"/>
    <w:rsid w:val="4AA42C77"/>
    <w:rsid w:val="4AAB1C9A"/>
    <w:rsid w:val="4AAD66DE"/>
    <w:rsid w:val="4AB64608"/>
    <w:rsid w:val="4AC65044"/>
    <w:rsid w:val="4ACA1E61"/>
    <w:rsid w:val="4ACE3700"/>
    <w:rsid w:val="4ADB7BCB"/>
    <w:rsid w:val="4AF11734"/>
    <w:rsid w:val="4AF33C91"/>
    <w:rsid w:val="4B09298A"/>
    <w:rsid w:val="4B0968DB"/>
    <w:rsid w:val="4B103D18"/>
    <w:rsid w:val="4B1650A7"/>
    <w:rsid w:val="4B1E6EA8"/>
    <w:rsid w:val="4B1F21AD"/>
    <w:rsid w:val="4B2477C4"/>
    <w:rsid w:val="4B2652EA"/>
    <w:rsid w:val="4B2E23F0"/>
    <w:rsid w:val="4B3C5773"/>
    <w:rsid w:val="4B5300A9"/>
    <w:rsid w:val="4B6E0A3F"/>
    <w:rsid w:val="4B7425B4"/>
    <w:rsid w:val="4B7818BD"/>
    <w:rsid w:val="4B8A1D1C"/>
    <w:rsid w:val="4B8C001B"/>
    <w:rsid w:val="4B8D74AA"/>
    <w:rsid w:val="4B92297F"/>
    <w:rsid w:val="4B9E7576"/>
    <w:rsid w:val="4BA12BC2"/>
    <w:rsid w:val="4BA514EC"/>
    <w:rsid w:val="4BA84C6D"/>
    <w:rsid w:val="4BB507A0"/>
    <w:rsid w:val="4BC32B39"/>
    <w:rsid w:val="4BC45891"/>
    <w:rsid w:val="4BD17317"/>
    <w:rsid w:val="4BD20FCE"/>
    <w:rsid w:val="4BD25472"/>
    <w:rsid w:val="4BD409C8"/>
    <w:rsid w:val="4BF947AC"/>
    <w:rsid w:val="4BFD73E8"/>
    <w:rsid w:val="4C03387D"/>
    <w:rsid w:val="4C1843DC"/>
    <w:rsid w:val="4C196BFC"/>
    <w:rsid w:val="4C2C4B82"/>
    <w:rsid w:val="4C2E2E7A"/>
    <w:rsid w:val="4C303F46"/>
    <w:rsid w:val="4C323270"/>
    <w:rsid w:val="4C3436DC"/>
    <w:rsid w:val="4C39729F"/>
    <w:rsid w:val="4C3E2B07"/>
    <w:rsid w:val="4C3E48B5"/>
    <w:rsid w:val="4C406B22"/>
    <w:rsid w:val="4C485734"/>
    <w:rsid w:val="4C527B86"/>
    <w:rsid w:val="4C5C4D3B"/>
    <w:rsid w:val="4C60482B"/>
    <w:rsid w:val="4C612351"/>
    <w:rsid w:val="4C6836E0"/>
    <w:rsid w:val="4C684C2D"/>
    <w:rsid w:val="4C6E6014"/>
    <w:rsid w:val="4C7B7339"/>
    <w:rsid w:val="4C83676C"/>
    <w:rsid w:val="4C8A7AFA"/>
    <w:rsid w:val="4C8B1D2E"/>
    <w:rsid w:val="4C8C5620"/>
    <w:rsid w:val="4CB340C5"/>
    <w:rsid w:val="4CB43887"/>
    <w:rsid w:val="4CB46760"/>
    <w:rsid w:val="4CBB4158"/>
    <w:rsid w:val="4CC76658"/>
    <w:rsid w:val="4CD64F4D"/>
    <w:rsid w:val="4CF54DAB"/>
    <w:rsid w:val="4D023B34"/>
    <w:rsid w:val="4D070189"/>
    <w:rsid w:val="4D090A1F"/>
    <w:rsid w:val="4D0F1621"/>
    <w:rsid w:val="4D151ABA"/>
    <w:rsid w:val="4D280563"/>
    <w:rsid w:val="4D2B4E39"/>
    <w:rsid w:val="4D387556"/>
    <w:rsid w:val="4D3A32CE"/>
    <w:rsid w:val="4D445EFB"/>
    <w:rsid w:val="4D461C73"/>
    <w:rsid w:val="4D4C4D1C"/>
    <w:rsid w:val="4D572F90"/>
    <w:rsid w:val="4D6420F9"/>
    <w:rsid w:val="4D731EA0"/>
    <w:rsid w:val="4D774157"/>
    <w:rsid w:val="4D7A191D"/>
    <w:rsid w:val="4D84279B"/>
    <w:rsid w:val="4D945A48"/>
    <w:rsid w:val="4D986247"/>
    <w:rsid w:val="4D987FF5"/>
    <w:rsid w:val="4D9A1FBF"/>
    <w:rsid w:val="4D9A5B1B"/>
    <w:rsid w:val="4DA03ACE"/>
    <w:rsid w:val="4DA150FB"/>
    <w:rsid w:val="4DA86FCA"/>
    <w:rsid w:val="4DAF04B9"/>
    <w:rsid w:val="4DB34E2F"/>
    <w:rsid w:val="4DBF3715"/>
    <w:rsid w:val="4DD23507"/>
    <w:rsid w:val="4DF560E2"/>
    <w:rsid w:val="4DFE7E7B"/>
    <w:rsid w:val="4E000D72"/>
    <w:rsid w:val="4E040BD6"/>
    <w:rsid w:val="4E094A4F"/>
    <w:rsid w:val="4E1A18A8"/>
    <w:rsid w:val="4E302968"/>
    <w:rsid w:val="4E3F66C2"/>
    <w:rsid w:val="4E44703E"/>
    <w:rsid w:val="4E46703F"/>
    <w:rsid w:val="4E481A1B"/>
    <w:rsid w:val="4E552A87"/>
    <w:rsid w:val="4E615283"/>
    <w:rsid w:val="4E630603"/>
    <w:rsid w:val="4E6B0FC3"/>
    <w:rsid w:val="4E742810"/>
    <w:rsid w:val="4E854A1D"/>
    <w:rsid w:val="4E8A08DC"/>
    <w:rsid w:val="4EA03605"/>
    <w:rsid w:val="4EAA7FE0"/>
    <w:rsid w:val="4EAC3D58"/>
    <w:rsid w:val="4EAF55F6"/>
    <w:rsid w:val="4EC47553"/>
    <w:rsid w:val="4ECF5CE3"/>
    <w:rsid w:val="4ED13D9A"/>
    <w:rsid w:val="4EE259CC"/>
    <w:rsid w:val="4EEC05F8"/>
    <w:rsid w:val="4F000553"/>
    <w:rsid w:val="4F11005F"/>
    <w:rsid w:val="4F132029"/>
    <w:rsid w:val="4F155DA1"/>
    <w:rsid w:val="4F2E79E6"/>
    <w:rsid w:val="4F59245B"/>
    <w:rsid w:val="4F5D4E34"/>
    <w:rsid w:val="4F652159"/>
    <w:rsid w:val="4F74239C"/>
    <w:rsid w:val="4F7B7D71"/>
    <w:rsid w:val="4F7C3338"/>
    <w:rsid w:val="4F8E01B1"/>
    <w:rsid w:val="4F9D711A"/>
    <w:rsid w:val="4FA55988"/>
    <w:rsid w:val="4FB01626"/>
    <w:rsid w:val="4FB04C26"/>
    <w:rsid w:val="4FD73056"/>
    <w:rsid w:val="4FEE03A0"/>
    <w:rsid w:val="4FEE3939"/>
    <w:rsid w:val="4FFA513E"/>
    <w:rsid w:val="4FFE4A87"/>
    <w:rsid w:val="50063B95"/>
    <w:rsid w:val="500C2D76"/>
    <w:rsid w:val="50347895"/>
    <w:rsid w:val="503E4E84"/>
    <w:rsid w:val="505C4B4C"/>
    <w:rsid w:val="506D74E0"/>
    <w:rsid w:val="507838BD"/>
    <w:rsid w:val="508C1777"/>
    <w:rsid w:val="508C7ECA"/>
    <w:rsid w:val="508F1684"/>
    <w:rsid w:val="50905FF2"/>
    <w:rsid w:val="50974594"/>
    <w:rsid w:val="509E75B0"/>
    <w:rsid w:val="50A742CD"/>
    <w:rsid w:val="50C071F6"/>
    <w:rsid w:val="50EF1F01"/>
    <w:rsid w:val="50F76D60"/>
    <w:rsid w:val="50F82B11"/>
    <w:rsid w:val="50F96D99"/>
    <w:rsid w:val="51022355"/>
    <w:rsid w:val="51085492"/>
    <w:rsid w:val="510F02F1"/>
    <w:rsid w:val="511C57EF"/>
    <w:rsid w:val="51230945"/>
    <w:rsid w:val="51241E27"/>
    <w:rsid w:val="51253065"/>
    <w:rsid w:val="513D338D"/>
    <w:rsid w:val="5144296E"/>
    <w:rsid w:val="514D6D69"/>
    <w:rsid w:val="5150249D"/>
    <w:rsid w:val="516025A4"/>
    <w:rsid w:val="51682405"/>
    <w:rsid w:val="516C77CE"/>
    <w:rsid w:val="516E2945"/>
    <w:rsid w:val="51711289"/>
    <w:rsid w:val="51735001"/>
    <w:rsid w:val="517A638F"/>
    <w:rsid w:val="51823496"/>
    <w:rsid w:val="51874608"/>
    <w:rsid w:val="518B0FFB"/>
    <w:rsid w:val="519218E8"/>
    <w:rsid w:val="5196613E"/>
    <w:rsid w:val="519F1952"/>
    <w:rsid w:val="51A004DC"/>
    <w:rsid w:val="51AD0BE3"/>
    <w:rsid w:val="51B51175"/>
    <w:rsid w:val="51BD002A"/>
    <w:rsid w:val="51C25640"/>
    <w:rsid w:val="51DC0DF8"/>
    <w:rsid w:val="51E717F1"/>
    <w:rsid w:val="51F577C4"/>
    <w:rsid w:val="51F64DAB"/>
    <w:rsid w:val="51FA47E1"/>
    <w:rsid w:val="520619D1"/>
    <w:rsid w:val="52285DEB"/>
    <w:rsid w:val="523024DC"/>
    <w:rsid w:val="523A18EA"/>
    <w:rsid w:val="5249616C"/>
    <w:rsid w:val="52532FCE"/>
    <w:rsid w:val="525C5A95"/>
    <w:rsid w:val="52630BD1"/>
    <w:rsid w:val="526B29CE"/>
    <w:rsid w:val="526D5005"/>
    <w:rsid w:val="527D42BC"/>
    <w:rsid w:val="527E1EAF"/>
    <w:rsid w:val="528F375D"/>
    <w:rsid w:val="52A37C23"/>
    <w:rsid w:val="52A42D36"/>
    <w:rsid w:val="52A45452"/>
    <w:rsid w:val="52B04687"/>
    <w:rsid w:val="52B40298"/>
    <w:rsid w:val="52B92F75"/>
    <w:rsid w:val="52BB6EDF"/>
    <w:rsid w:val="52C12103"/>
    <w:rsid w:val="52CD24EF"/>
    <w:rsid w:val="52D25D57"/>
    <w:rsid w:val="52E37CAD"/>
    <w:rsid w:val="52EA1277"/>
    <w:rsid w:val="52EA6FAB"/>
    <w:rsid w:val="52ED0F68"/>
    <w:rsid w:val="52F061DD"/>
    <w:rsid w:val="52F846CA"/>
    <w:rsid w:val="52FC2DD4"/>
    <w:rsid w:val="530627A0"/>
    <w:rsid w:val="530A54F1"/>
    <w:rsid w:val="532C36B9"/>
    <w:rsid w:val="53400F13"/>
    <w:rsid w:val="53547776"/>
    <w:rsid w:val="535E75EB"/>
    <w:rsid w:val="53606C6E"/>
    <w:rsid w:val="536D3630"/>
    <w:rsid w:val="536D660D"/>
    <w:rsid w:val="536E3CD2"/>
    <w:rsid w:val="536F7A4A"/>
    <w:rsid w:val="537A4860"/>
    <w:rsid w:val="537E6956"/>
    <w:rsid w:val="53837051"/>
    <w:rsid w:val="539B25ED"/>
    <w:rsid w:val="53A111D8"/>
    <w:rsid w:val="53AE0572"/>
    <w:rsid w:val="53B5759A"/>
    <w:rsid w:val="53C176CB"/>
    <w:rsid w:val="53D56A20"/>
    <w:rsid w:val="53F266B1"/>
    <w:rsid w:val="54164A93"/>
    <w:rsid w:val="54187AEB"/>
    <w:rsid w:val="542720D3"/>
    <w:rsid w:val="54377B7E"/>
    <w:rsid w:val="543C489E"/>
    <w:rsid w:val="54551127"/>
    <w:rsid w:val="54612E5B"/>
    <w:rsid w:val="547843B3"/>
    <w:rsid w:val="548B440F"/>
    <w:rsid w:val="54927D67"/>
    <w:rsid w:val="54963258"/>
    <w:rsid w:val="549E2395"/>
    <w:rsid w:val="54BA6AA3"/>
    <w:rsid w:val="54C4338E"/>
    <w:rsid w:val="54C85664"/>
    <w:rsid w:val="54E11ACF"/>
    <w:rsid w:val="55172147"/>
    <w:rsid w:val="55191A1B"/>
    <w:rsid w:val="551C775D"/>
    <w:rsid w:val="552130F7"/>
    <w:rsid w:val="55215E81"/>
    <w:rsid w:val="552D7B39"/>
    <w:rsid w:val="55423070"/>
    <w:rsid w:val="5543118E"/>
    <w:rsid w:val="55515659"/>
    <w:rsid w:val="55517407"/>
    <w:rsid w:val="55603AEE"/>
    <w:rsid w:val="55654C60"/>
    <w:rsid w:val="55684AE1"/>
    <w:rsid w:val="556E7FB9"/>
    <w:rsid w:val="557355CF"/>
    <w:rsid w:val="55735EAD"/>
    <w:rsid w:val="55760C1C"/>
    <w:rsid w:val="55780E38"/>
    <w:rsid w:val="55794BB0"/>
    <w:rsid w:val="55835055"/>
    <w:rsid w:val="558E065B"/>
    <w:rsid w:val="559E7799"/>
    <w:rsid w:val="55BC0D96"/>
    <w:rsid w:val="55BD4A9D"/>
    <w:rsid w:val="55C53951"/>
    <w:rsid w:val="55D32DBA"/>
    <w:rsid w:val="55D911AB"/>
    <w:rsid w:val="55E42029"/>
    <w:rsid w:val="55EA5DE0"/>
    <w:rsid w:val="55F04E72"/>
    <w:rsid w:val="56000916"/>
    <w:rsid w:val="56022F50"/>
    <w:rsid w:val="5604091D"/>
    <w:rsid w:val="56041F8F"/>
    <w:rsid w:val="5605626C"/>
    <w:rsid w:val="56097CE2"/>
    <w:rsid w:val="560B1CAC"/>
    <w:rsid w:val="56156687"/>
    <w:rsid w:val="5621502B"/>
    <w:rsid w:val="56293EE0"/>
    <w:rsid w:val="5630327C"/>
    <w:rsid w:val="5632548A"/>
    <w:rsid w:val="56423F4F"/>
    <w:rsid w:val="564639FA"/>
    <w:rsid w:val="564B4D2E"/>
    <w:rsid w:val="56535401"/>
    <w:rsid w:val="56582779"/>
    <w:rsid w:val="565A22EB"/>
    <w:rsid w:val="566118CC"/>
    <w:rsid w:val="566273F2"/>
    <w:rsid w:val="56876494"/>
    <w:rsid w:val="568C5027"/>
    <w:rsid w:val="569A4DDE"/>
    <w:rsid w:val="56A31EE4"/>
    <w:rsid w:val="56DE116E"/>
    <w:rsid w:val="56E562A5"/>
    <w:rsid w:val="56EE43D3"/>
    <w:rsid w:val="570D1A54"/>
    <w:rsid w:val="57154464"/>
    <w:rsid w:val="57325016"/>
    <w:rsid w:val="57362D58"/>
    <w:rsid w:val="573945F7"/>
    <w:rsid w:val="573A7D3D"/>
    <w:rsid w:val="57457BC8"/>
    <w:rsid w:val="575B1B8A"/>
    <w:rsid w:val="575B7FB5"/>
    <w:rsid w:val="57621810"/>
    <w:rsid w:val="576F1684"/>
    <w:rsid w:val="57745738"/>
    <w:rsid w:val="577C44E3"/>
    <w:rsid w:val="577D2735"/>
    <w:rsid w:val="578D73AC"/>
    <w:rsid w:val="579105CB"/>
    <w:rsid w:val="579E08FE"/>
    <w:rsid w:val="57BB500C"/>
    <w:rsid w:val="57C02622"/>
    <w:rsid w:val="57C32112"/>
    <w:rsid w:val="57C40634"/>
    <w:rsid w:val="57CE2F91"/>
    <w:rsid w:val="57D85BBE"/>
    <w:rsid w:val="57E519E1"/>
    <w:rsid w:val="57E74053"/>
    <w:rsid w:val="57FD15A4"/>
    <w:rsid w:val="58032813"/>
    <w:rsid w:val="580C3AB9"/>
    <w:rsid w:val="580E26A7"/>
    <w:rsid w:val="580F696C"/>
    <w:rsid w:val="581379D2"/>
    <w:rsid w:val="58150BC0"/>
    <w:rsid w:val="5818245E"/>
    <w:rsid w:val="582901C7"/>
    <w:rsid w:val="582C415B"/>
    <w:rsid w:val="582E1C82"/>
    <w:rsid w:val="583152CE"/>
    <w:rsid w:val="5832344E"/>
    <w:rsid w:val="5835393E"/>
    <w:rsid w:val="584343D6"/>
    <w:rsid w:val="58555FF7"/>
    <w:rsid w:val="58586CFE"/>
    <w:rsid w:val="585C67EF"/>
    <w:rsid w:val="5866766D"/>
    <w:rsid w:val="58676F42"/>
    <w:rsid w:val="586E02D0"/>
    <w:rsid w:val="587D7F6B"/>
    <w:rsid w:val="58847AF3"/>
    <w:rsid w:val="588673C8"/>
    <w:rsid w:val="589213FE"/>
    <w:rsid w:val="58B208CA"/>
    <w:rsid w:val="58BF6D7E"/>
    <w:rsid w:val="58CD149A"/>
    <w:rsid w:val="58D36E22"/>
    <w:rsid w:val="58D565A1"/>
    <w:rsid w:val="58D97E3F"/>
    <w:rsid w:val="58DC106F"/>
    <w:rsid w:val="58DE61A1"/>
    <w:rsid w:val="58DF4D2A"/>
    <w:rsid w:val="58E6255C"/>
    <w:rsid w:val="58E7018E"/>
    <w:rsid w:val="58F65DEB"/>
    <w:rsid w:val="59111E63"/>
    <w:rsid w:val="59161796"/>
    <w:rsid w:val="59172131"/>
    <w:rsid w:val="59190CFA"/>
    <w:rsid w:val="591A264C"/>
    <w:rsid w:val="591E1CF6"/>
    <w:rsid w:val="59213594"/>
    <w:rsid w:val="59246BE1"/>
    <w:rsid w:val="59390E6A"/>
    <w:rsid w:val="5945784E"/>
    <w:rsid w:val="594D6497"/>
    <w:rsid w:val="595535BB"/>
    <w:rsid w:val="59626E04"/>
    <w:rsid w:val="596E76F3"/>
    <w:rsid w:val="59805661"/>
    <w:rsid w:val="598633F7"/>
    <w:rsid w:val="59863E22"/>
    <w:rsid w:val="598F6750"/>
    <w:rsid w:val="59AF37A2"/>
    <w:rsid w:val="59B14918"/>
    <w:rsid w:val="59C3464B"/>
    <w:rsid w:val="59DB7BE7"/>
    <w:rsid w:val="59E06FAB"/>
    <w:rsid w:val="59E20F9C"/>
    <w:rsid w:val="59E24217"/>
    <w:rsid w:val="59E47780"/>
    <w:rsid w:val="59EA7937"/>
    <w:rsid w:val="5A056A12"/>
    <w:rsid w:val="5A0709DC"/>
    <w:rsid w:val="5A0A5DD6"/>
    <w:rsid w:val="5A0E3B19"/>
    <w:rsid w:val="5A2E7D17"/>
    <w:rsid w:val="5A315A59"/>
    <w:rsid w:val="5A3544A8"/>
    <w:rsid w:val="5A396A69"/>
    <w:rsid w:val="5A513A05"/>
    <w:rsid w:val="5A556B12"/>
    <w:rsid w:val="5A5B72C5"/>
    <w:rsid w:val="5A5E578C"/>
    <w:rsid w:val="5A600992"/>
    <w:rsid w:val="5A81740D"/>
    <w:rsid w:val="5A9C5EC5"/>
    <w:rsid w:val="5A9D28FB"/>
    <w:rsid w:val="5AB700BF"/>
    <w:rsid w:val="5AB87D8F"/>
    <w:rsid w:val="5ABA2810"/>
    <w:rsid w:val="5AC87388"/>
    <w:rsid w:val="5ACD39D4"/>
    <w:rsid w:val="5ACF3980"/>
    <w:rsid w:val="5AD22D98"/>
    <w:rsid w:val="5AD275EA"/>
    <w:rsid w:val="5AD54910"/>
    <w:rsid w:val="5AE22806"/>
    <w:rsid w:val="5AE66844"/>
    <w:rsid w:val="5AE91E90"/>
    <w:rsid w:val="5AF01470"/>
    <w:rsid w:val="5B4B48F9"/>
    <w:rsid w:val="5B513A98"/>
    <w:rsid w:val="5B527A35"/>
    <w:rsid w:val="5B632410"/>
    <w:rsid w:val="5B68125D"/>
    <w:rsid w:val="5B7673E0"/>
    <w:rsid w:val="5B7B3430"/>
    <w:rsid w:val="5B82281B"/>
    <w:rsid w:val="5B840B7A"/>
    <w:rsid w:val="5B863B83"/>
    <w:rsid w:val="5BA744A2"/>
    <w:rsid w:val="5BAE5337"/>
    <w:rsid w:val="5BB63B60"/>
    <w:rsid w:val="5BC70423"/>
    <w:rsid w:val="5BCC5247"/>
    <w:rsid w:val="5BD364E5"/>
    <w:rsid w:val="5BD42B40"/>
    <w:rsid w:val="5BDD7C46"/>
    <w:rsid w:val="5BE87A82"/>
    <w:rsid w:val="5BEC1C38"/>
    <w:rsid w:val="5BEF34D6"/>
    <w:rsid w:val="5BF525BE"/>
    <w:rsid w:val="5BFC01E7"/>
    <w:rsid w:val="5C0A4EAC"/>
    <w:rsid w:val="5C196B5C"/>
    <w:rsid w:val="5C3165AD"/>
    <w:rsid w:val="5C344FA7"/>
    <w:rsid w:val="5C473312"/>
    <w:rsid w:val="5C487880"/>
    <w:rsid w:val="5C4C3003"/>
    <w:rsid w:val="5C514191"/>
    <w:rsid w:val="5C6079CF"/>
    <w:rsid w:val="5C643EC4"/>
    <w:rsid w:val="5C660D00"/>
    <w:rsid w:val="5C69689F"/>
    <w:rsid w:val="5C7A36E7"/>
    <w:rsid w:val="5C883936"/>
    <w:rsid w:val="5C904CB9"/>
    <w:rsid w:val="5CBD35D4"/>
    <w:rsid w:val="5CC27A5D"/>
    <w:rsid w:val="5CCC3817"/>
    <w:rsid w:val="5CD8040E"/>
    <w:rsid w:val="5CDC6150"/>
    <w:rsid w:val="5CF1327E"/>
    <w:rsid w:val="5CF50FC0"/>
    <w:rsid w:val="5CF76AE6"/>
    <w:rsid w:val="5D1B28A5"/>
    <w:rsid w:val="5D2201E7"/>
    <w:rsid w:val="5D292A17"/>
    <w:rsid w:val="5D2E6280"/>
    <w:rsid w:val="5D34254B"/>
    <w:rsid w:val="5D356AE8"/>
    <w:rsid w:val="5D3B71FA"/>
    <w:rsid w:val="5D5C7F63"/>
    <w:rsid w:val="5D683540"/>
    <w:rsid w:val="5D6972B8"/>
    <w:rsid w:val="5D867E6A"/>
    <w:rsid w:val="5D8F6430"/>
    <w:rsid w:val="5D942587"/>
    <w:rsid w:val="5D9C143B"/>
    <w:rsid w:val="5DA6050C"/>
    <w:rsid w:val="5DC664B8"/>
    <w:rsid w:val="5DD15589"/>
    <w:rsid w:val="5DD706C5"/>
    <w:rsid w:val="5DD7519E"/>
    <w:rsid w:val="5DDB3F62"/>
    <w:rsid w:val="5DDC1EA0"/>
    <w:rsid w:val="5DF7516B"/>
    <w:rsid w:val="5DFD71D0"/>
    <w:rsid w:val="5DFE5C52"/>
    <w:rsid w:val="5E2002BE"/>
    <w:rsid w:val="5E225DE5"/>
    <w:rsid w:val="5E2E04AC"/>
    <w:rsid w:val="5E2E2006"/>
    <w:rsid w:val="5E361890"/>
    <w:rsid w:val="5E4D094B"/>
    <w:rsid w:val="5E604B5F"/>
    <w:rsid w:val="5E627061"/>
    <w:rsid w:val="5E677C9B"/>
    <w:rsid w:val="5E824AD5"/>
    <w:rsid w:val="5E8C5954"/>
    <w:rsid w:val="5E934DA7"/>
    <w:rsid w:val="5E991813"/>
    <w:rsid w:val="5E9E70DE"/>
    <w:rsid w:val="5EA06D09"/>
    <w:rsid w:val="5EA27DAC"/>
    <w:rsid w:val="5EA507C4"/>
    <w:rsid w:val="5EAE58CA"/>
    <w:rsid w:val="5EBB71B8"/>
    <w:rsid w:val="5EC62C14"/>
    <w:rsid w:val="5EC85C46"/>
    <w:rsid w:val="5ED66BCF"/>
    <w:rsid w:val="5ED82947"/>
    <w:rsid w:val="5EE07779"/>
    <w:rsid w:val="5EE50BC0"/>
    <w:rsid w:val="5EF1023B"/>
    <w:rsid w:val="5EF21400"/>
    <w:rsid w:val="5EF332DD"/>
    <w:rsid w:val="5F0040FB"/>
    <w:rsid w:val="5F117C07"/>
    <w:rsid w:val="5F180F96"/>
    <w:rsid w:val="5F1D6554"/>
    <w:rsid w:val="5F1D65AC"/>
    <w:rsid w:val="5F2318E2"/>
    <w:rsid w:val="5F2A342A"/>
    <w:rsid w:val="5F5F2560"/>
    <w:rsid w:val="5F6D0154"/>
    <w:rsid w:val="5F815880"/>
    <w:rsid w:val="5F887EC9"/>
    <w:rsid w:val="5F8D33CA"/>
    <w:rsid w:val="5F8D636E"/>
    <w:rsid w:val="5FA32F55"/>
    <w:rsid w:val="5FAB005C"/>
    <w:rsid w:val="5FBE7D8F"/>
    <w:rsid w:val="5FC347FB"/>
    <w:rsid w:val="5FCC4EB8"/>
    <w:rsid w:val="5FCD7FD2"/>
    <w:rsid w:val="5FD50793"/>
    <w:rsid w:val="5FEA0785"/>
    <w:rsid w:val="5FEC4092"/>
    <w:rsid w:val="5FED5A7A"/>
    <w:rsid w:val="600E418B"/>
    <w:rsid w:val="60107EBF"/>
    <w:rsid w:val="60277897"/>
    <w:rsid w:val="602D2239"/>
    <w:rsid w:val="60406D15"/>
    <w:rsid w:val="604C539B"/>
    <w:rsid w:val="604E5547"/>
    <w:rsid w:val="605858BD"/>
    <w:rsid w:val="605A0FEE"/>
    <w:rsid w:val="605C710F"/>
    <w:rsid w:val="60667A2F"/>
    <w:rsid w:val="60806DF2"/>
    <w:rsid w:val="608526A3"/>
    <w:rsid w:val="608C293E"/>
    <w:rsid w:val="609150E6"/>
    <w:rsid w:val="60926A7C"/>
    <w:rsid w:val="60A04667"/>
    <w:rsid w:val="60A30D33"/>
    <w:rsid w:val="60B979FA"/>
    <w:rsid w:val="60C50CA9"/>
    <w:rsid w:val="60C879F8"/>
    <w:rsid w:val="60D809DC"/>
    <w:rsid w:val="60D86C2E"/>
    <w:rsid w:val="60EC26DA"/>
    <w:rsid w:val="60F17CF0"/>
    <w:rsid w:val="60FB291D"/>
    <w:rsid w:val="6114070F"/>
    <w:rsid w:val="6129748A"/>
    <w:rsid w:val="612B0C71"/>
    <w:rsid w:val="6131633F"/>
    <w:rsid w:val="61502C69"/>
    <w:rsid w:val="61532759"/>
    <w:rsid w:val="61534507"/>
    <w:rsid w:val="615842A7"/>
    <w:rsid w:val="615D5386"/>
    <w:rsid w:val="615E3279"/>
    <w:rsid w:val="61614E76"/>
    <w:rsid w:val="616A5E89"/>
    <w:rsid w:val="616A6065"/>
    <w:rsid w:val="618254D5"/>
    <w:rsid w:val="61975ECB"/>
    <w:rsid w:val="61A30FEA"/>
    <w:rsid w:val="61CB26C4"/>
    <w:rsid w:val="61D41973"/>
    <w:rsid w:val="61E62A22"/>
    <w:rsid w:val="61F335F4"/>
    <w:rsid w:val="61F71336"/>
    <w:rsid w:val="61FD73ED"/>
    <w:rsid w:val="62026C13"/>
    <w:rsid w:val="62035F2D"/>
    <w:rsid w:val="62057497"/>
    <w:rsid w:val="621243C2"/>
    <w:rsid w:val="62126170"/>
    <w:rsid w:val="62165C60"/>
    <w:rsid w:val="622D4D58"/>
    <w:rsid w:val="62353C0D"/>
    <w:rsid w:val="623C31ED"/>
    <w:rsid w:val="62412EB3"/>
    <w:rsid w:val="62437D6E"/>
    <w:rsid w:val="62546789"/>
    <w:rsid w:val="6259578A"/>
    <w:rsid w:val="62595B4D"/>
    <w:rsid w:val="625B7B17"/>
    <w:rsid w:val="62607EDA"/>
    <w:rsid w:val="626369CC"/>
    <w:rsid w:val="626B377B"/>
    <w:rsid w:val="62712EF8"/>
    <w:rsid w:val="627B07CB"/>
    <w:rsid w:val="6280757E"/>
    <w:rsid w:val="62914D6A"/>
    <w:rsid w:val="629C798F"/>
    <w:rsid w:val="62A80882"/>
    <w:rsid w:val="62AC4C49"/>
    <w:rsid w:val="62B378C0"/>
    <w:rsid w:val="62B60CD4"/>
    <w:rsid w:val="62C87BE3"/>
    <w:rsid w:val="62CE324E"/>
    <w:rsid w:val="62D03E7A"/>
    <w:rsid w:val="62D653F0"/>
    <w:rsid w:val="62E63D20"/>
    <w:rsid w:val="62EA2C49"/>
    <w:rsid w:val="62EC7067"/>
    <w:rsid w:val="62F77512"/>
    <w:rsid w:val="62FB30A8"/>
    <w:rsid w:val="631303F2"/>
    <w:rsid w:val="63207FC1"/>
    <w:rsid w:val="633F79FF"/>
    <w:rsid w:val="63416D0D"/>
    <w:rsid w:val="63423892"/>
    <w:rsid w:val="634D59BC"/>
    <w:rsid w:val="63790131"/>
    <w:rsid w:val="6379342E"/>
    <w:rsid w:val="637B0C90"/>
    <w:rsid w:val="637F2B0A"/>
    <w:rsid w:val="63876204"/>
    <w:rsid w:val="63904B24"/>
    <w:rsid w:val="63913965"/>
    <w:rsid w:val="63A23524"/>
    <w:rsid w:val="63A27F73"/>
    <w:rsid w:val="63A37470"/>
    <w:rsid w:val="63CE3967"/>
    <w:rsid w:val="63D1274E"/>
    <w:rsid w:val="63D46AB0"/>
    <w:rsid w:val="63DA5270"/>
    <w:rsid w:val="63DC16EE"/>
    <w:rsid w:val="63E1229E"/>
    <w:rsid w:val="63E41A7D"/>
    <w:rsid w:val="63E925C5"/>
    <w:rsid w:val="63EF79ED"/>
    <w:rsid w:val="63F416AA"/>
    <w:rsid w:val="63F55D49"/>
    <w:rsid w:val="63F804BB"/>
    <w:rsid w:val="64032DE5"/>
    <w:rsid w:val="64033FC2"/>
    <w:rsid w:val="640C1970"/>
    <w:rsid w:val="6416058B"/>
    <w:rsid w:val="64440CE1"/>
    <w:rsid w:val="644A2A60"/>
    <w:rsid w:val="647605C3"/>
    <w:rsid w:val="64775F3B"/>
    <w:rsid w:val="647B7FFD"/>
    <w:rsid w:val="64850E7B"/>
    <w:rsid w:val="649D4417"/>
    <w:rsid w:val="64A532CB"/>
    <w:rsid w:val="64AB4FD9"/>
    <w:rsid w:val="64AF414A"/>
    <w:rsid w:val="64BE2BA0"/>
    <w:rsid w:val="64C172C2"/>
    <w:rsid w:val="64E42046"/>
    <w:rsid w:val="64F34037"/>
    <w:rsid w:val="64F94AE9"/>
    <w:rsid w:val="64FB113D"/>
    <w:rsid w:val="64FE1737"/>
    <w:rsid w:val="651C7AF2"/>
    <w:rsid w:val="6521310F"/>
    <w:rsid w:val="65317013"/>
    <w:rsid w:val="65336B29"/>
    <w:rsid w:val="65340FE1"/>
    <w:rsid w:val="65393A14"/>
    <w:rsid w:val="654F70F9"/>
    <w:rsid w:val="65504CCF"/>
    <w:rsid w:val="65537AB6"/>
    <w:rsid w:val="65787799"/>
    <w:rsid w:val="657D60FC"/>
    <w:rsid w:val="65800C31"/>
    <w:rsid w:val="658253BB"/>
    <w:rsid w:val="659D21F5"/>
    <w:rsid w:val="65A80AE2"/>
    <w:rsid w:val="65A96DEB"/>
    <w:rsid w:val="65AF5057"/>
    <w:rsid w:val="65BB267B"/>
    <w:rsid w:val="65C23A09"/>
    <w:rsid w:val="65C417A2"/>
    <w:rsid w:val="65C5268A"/>
    <w:rsid w:val="65C91BE8"/>
    <w:rsid w:val="65E2648E"/>
    <w:rsid w:val="65F06892"/>
    <w:rsid w:val="65F20792"/>
    <w:rsid w:val="65F71905"/>
    <w:rsid w:val="660867C7"/>
    <w:rsid w:val="661303B6"/>
    <w:rsid w:val="66157FDD"/>
    <w:rsid w:val="661E7AFB"/>
    <w:rsid w:val="66282A76"/>
    <w:rsid w:val="662E3938"/>
    <w:rsid w:val="66391CBC"/>
    <w:rsid w:val="663A5F8A"/>
    <w:rsid w:val="66432D9C"/>
    <w:rsid w:val="664371C5"/>
    <w:rsid w:val="6647766F"/>
    <w:rsid w:val="66707909"/>
    <w:rsid w:val="667E2026"/>
    <w:rsid w:val="667E2EA5"/>
    <w:rsid w:val="6683763C"/>
    <w:rsid w:val="669730E8"/>
    <w:rsid w:val="66981FCC"/>
    <w:rsid w:val="66AF3F8D"/>
    <w:rsid w:val="66B71094"/>
    <w:rsid w:val="66CD4D5B"/>
    <w:rsid w:val="66DB2FD4"/>
    <w:rsid w:val="66E737AC"/>
    <w:rsid w:val="66EC51E2"/>
    <w:rsid w:val="670267B3"/>
    <w:rsid w:val="67210A76"/>
    <w:rsid w:val="67253DCE"/>
    <w:rsid w:val="67272732"/>
    <w:rsid w:val="6732696D"/>
    <w:rsid w:val="673911F7"/>
    <w:rsid w:val="673D71AA"/>
    <w:rsid w:val="673E07F1"/>
    <w:rsid w:val="673E5311"/>
    <w:rsid w:val="67446DCC"/>
    <w:rsid w:val="6747066A"/>
    <w:rsid w:val="67486190"/>
    <w:rsid w:val="674A7082"/>
    <w:rsid w:val="674F55FB"/>
    <w:rsid w:val="6751221F"/>
    <w:rsid w:val="67540943"/>
    <w:rsid w:val="675940D8"/>
    <w:rsid w:val="675E7762"/>
    <w:rsid w:val="676B3DBE"/>
    <w:rsid w:val="677671A1"/>
    <w:rsid w:val="67786A75"/>
    <w:rsid w:val="67866D01"/>
    <w:rsid w:val="678B77C5"/>
    <w:rsid w:val="679272FE"/>
    <w:rsid w:val="67A23AF2"/>
    <w:rsid w:val="67AE06E9"/>
    <w:rsid w:val="67AE1FE5"/>
    <w:rsid w:val="67B04461"/>
    <w:rsid w:val="67B57CC9"/>
    <w:rsid w:val="67BA0E3C"/>
    <w:rsid w:val="67C47F0C"/>
    <w:rsid w:val="67CB129B"/>
    <w:rsid w:val="67DD0FCE"/>
    <w:rsid w:val="67EA7B48"/>
    <w:rsid w:val="67EE39B7"/>
    <w:rsid w:val="67F02AB0"/>
    <w:rsid w:val="67F53482"/>
    <w:rsid w:val="67FD6F7B"/>
    <w:rsid w:val="680F4E37"/>
    <w:rsid w:val="681E586F"/>
    <w:rsid w:val="682852C6"/>
    <w:rsid w:val="68336E40"/>
    <w:rsid w:val="68352BB8"/>
    <w:rsid w:val="683E36BF"/>
    <w:rsid w:val="684150B9"/>
    <w:rsid w:val="68442DFB"/>
    <w:rsid w:val="68443B60"/>
    <w:rsid w:val="685E3EBD"/>
    <w:rsid w:val="68624D28"/>
    <w:rsid w:val="687352A3"/>
    <w:rsid w:val="68773D84"/>
    <w:rsid w:val="688A622D"/>
    <w:rsid w:val="688B5A8A"/>
    <w:rsid w:val="68A06B07"/>
    <w:rsid w:val="68A8338A"/>
    <w:rsid w:val="68AD73B3"/>
    <w:rsid w:val="68AE43D6"/>
    <w:rsid w:val="68AF64C7"/>
    <w:rsid w:val="68C11783"/>
    <w:rsid w:val="68F557AF"/>
    <w:rsid w:val="68FC419C"/>
    <w:rsid w:val="69054339"/>
    <w:rsid w:val="691E7AFA"/>
    <w:rsid w:val="69236EB5"/>
    <w:rsid w:val="69266638"/>
    <w:rsid w:val="693D7F76"/>
    <w:rsid w:val="694C01BA"/>
    <w:rsid w:val="69503976"/>
    <w:rsid w:val="69520DA9"/>
    <w:rsid w:val="69694879"/>
    <w:rsid w:val="696A67AF"/>
    <w:rsid w:val="69717C20"/>
    <w:rsid w:val="69740AAA"/>
    <w:rsid w:val="69787200"/>
    <w:rsid w:val="697A2F79"/>
    <w:rsid w:val="698859DD"/>
    <w:rsid w:val="699D3E7F"/>
    <w:rsid w:val="699E33E0"/>
    <w:rsid w:val="69A2602B"/>
    <w:rsid w:val="69C02956"/>
    <w:rsid w:val="69C266CE"/>
    <w:rsid w:val="69C75A92"/>
    <w:rsid w:val="69D63F27"/>
    <w:rsid w:val="69DA17D2"/>
    <w:rsid w:val="69E00902"/>
    <w:rsid w:val="69E44896"/>
    <w:rsid w:val="69E76134"/>
    <w:rsid w:val="69F0378F"/>
    <w:rsid w:val="6A1F58CE"/>
    <w:rsid w:val="6A210461"/>
    <w:rsid w:val="6A276531"/>
    <w:rsid w:val="6A38700E"/>
    <w:rsid w:val="6A55309E"/>
    <w:rsid w:val="6A60130A"/>
    <w:rsid w:val="6A646A49"/>
    <w:rsid w:val="6A7A57AD"/>
    <w:rsid w:val="6A8316E1"/>
    <w:rsid w:val="6A85401E"/>
    <w:rsid w:val="6A8E65B0"/>
    <w:rsid w:val="6AA33B2B"/>
    <w:rsid w:val="6AA33E09"/>
    <w:rsid w:val="6AA60C17"/>
    <w:rsid w:val="6AA61B4B"/>
    <w:rsid w:val="6AAB53B4"/>
    <w:rsid w:val="6ABC5C1C"/>
    <w:rsid w:val="6AC65D4A"/>
    <w:rsid w:val="6AD533B9"/>
    <w:rsid w:val="6AD761A9"/>
    <w:rsid w:val="6AEB755E"/>
    <w:rsid w:val="6AF26701"/>
    <w:rsid w:val="6AF503DD"/>
    <w:rsid w:val="6AF66605"/>
    <w:rsid w:val="6B0845B4"/>
    <w:rsid w:val="6B1447DB"/>
    <w:rsid w:val="6B1D0C45"/>
    <w:rsid w:val="6B277FCE"/>
    <w:rsid w:val="6B336ED9"/>
    <w:rsid w:val="6B400E0C"/>
    <w:rsid w:val="6B427AC6"/>
    <w:rsid w:val="6B452997"/>
    <w:rsid w:val="6B4D0219"/>
    <w:rsid w:val="6B53516C"/>
    <w:rsid w:val="6B574766"/>
    <w:rsid w:val="6B61607B"/>
    <w:rsid w:val="6B6B0C9F"/>
    <w:rsid w:val="6B731B99"/>
    <w:rsid w:val="6B7B4D86"/>
    <w:rsid w:val="6B843565"/>
    <w:rsid w:val="6B8451F3"/>
    <w:rsid w:val="6B99520C"/>
    <w:rsid w:val="6B9D4CFC"/>
    <w:rsid w:val="6BA65AFE"/>
    <w:rsid w:val="6BAE7FEE"/>
    <w:rsid w:val="6BB32772"/>
    <w:rsid w:val="6BBA58AE"/>
    <w:rsid w:val="6BC229B5"/>
    <w:rsid w:val="6BC93D43"/>
    <w:rsid w:val="6BCD795D"/>
    <w:rsid w:val="6BE422C9"/>
    <w:rsid w:val="6BE50451"/>
    <w:rsid w:val="6BF1329A"/>
    <w:rsid w:val="6BF16F9C"/>
    <w:rsid w:val="6C3848F0"/>
    <w:rsid w:val="6C4D1787"/>
    <w:rsid w:val="6C623015"/>
    <w:rsid w:val="6C757A27"/>
    <w:rsid w:val="6C7F08A6"/>
    <w:rsid w:val="6C8163CC"/>
    <w:rsid w:val="6C830396"/>
    <w:rsid w:val="6C8E2897"/>
    <w:rsid w:val="6C9902BB"/>
    <w:rsid w:val="6CB3137C"/>
    <w:rsid w:val="6CB542C8"/>
    <w:rsid w:val="6CB62365"/>
    <w:rsid w:val="6CBA7A04"/>
    <w:rsid w:val="6CCF05D6"/>
    <w:rsid w:val="6CE30DDD"/>
    <w:rsid w:val="6CE64F5B"/>
    <w:rsid w:val="6CE67DF5"/>
    <w:rsid w:val="6CF44DF0"/>
    <w:rsid w:val="6CFC0ABE"/>
    <w:rsid w:val="6D01750D"/>
    <w:rsid w:val="6D066A37"/>
    <w:rsid w:val="6D0B6FA8"/>
    <w:rsid w:val="6D17288C"/>
    <w:rsid w:val="6D213709"/>
    <w:rsid w:val="6D286848"/>
    <w:rsid w:val="6D3671B7"/>
    <w:rsid w:val="6D502C15"/>
    <w:rsid w:val="6D5653B8"/>
    <w:rsid w:val="6D5737C1"/>
    <w:rsid w:val="6D5C2BC3"/>
    <w:rsid w:val="6D6A13DE"/>
    <w:rsid w:val="6D6E7692"/>
    <w:rsid w:val="6D7258C2"/>
    <w:rsid w:val="6D7A754E"/>
    <w:rsid w:val="6D981C1F"/>
    <w:rsid w:val="6D9B0363"/>
    <w:rsid w:val="6D9C0FE4"/>
    <w:rsid w:val="6DA104CB"/>
    <w:rsid w:val="6DA85BDA"/>
    <w:rsid w:val="6DB4457F"/>
    <w:rsid w:val="6DC270E1"/>
    <w:rsid w:val="6DEA1D4F"/>
    <w:rsid w:val="6DEF55B7"/>
    <w:rsid w:val="6E024CC1"/>
    <w:rsid w:val="6E1A6AD8"/>
    <w:rsid w:val="6E313E22"/>
    <w:rsid w:val="6E3B368B"/>
    <w:rsid w:val="6E3D6323"/>
    <w:rsid w:val="6E453871"/>
    <w:rsid w:val="6E7771B3"/>
    <w:rsid w:val="6E79294E"/>
    <w:rsid w:val="6E8261FC"/>
    <w:rsid w:val="6E8B1784"/>
    <w:rsid w:val="6E955C63"/>
    <w:rsid w:val="6E9728DC"/>
    <w:rsid w:val="6EB8009F"/>
    <w:rsid w:val="6EC35B23"/>
    <w:rsid w:val="6ED45756"/>
    <w:rsid w:val="6EE3336E"/>
    <w:rsid w:val="6EE81451"/>
    <w:rsid w:val="6EF235B1"/>
    <w:rsid w:val="6F060330"/>
    <w:rsid w:val="6F1654F2"/>
    <w:rsid w:val="6F202ACA"/>
    <w:rsid w:val="6F217BD1"/>
    <w:rsid w:val="6F2245B2"/>
    <w:rsid w:val="6F240028"/>
    <w:rsid w:val="6F245A11"/>
    <w:rsid w:val="6F2A3588"/>
    <w:rsid w:val="6F2B5825"/>
    <w:rsid w:val="6F2D45E9"/>
    <w:rsid w:val="6F2E7EB1"/>
    <w:rsid w:val="6F611222"/>
    <w:rsid w:val="6F653D83"/>
    <w:rsid w:val="6F6A3147"/>
    <w:rsid w:val="6F7246F2"/>
    <w:rsid w:val="6F731E2F"/>
    <w:rsid w:val="6F743FC6"/>
    <w:rsid w:val="6F8F2BAE"/>
    <w:rsid w:val="6F9756F7"/>
    <w:rsid w:val="6FA779C8"/>
    <w:rsid w:val="6FB1521A"/>
    <w:rsid w:val="6FBB1430"/>
    <w:rsid w:val="6FBE16E5"/>
    <w:rsid w:val="6FC565D0"/>
    <w:rsid w:val="6FD44A65"/>
    <w:rsid w:val="6FD83170"/>
    <w:rsid w:val="6FD94382"/>
    <w:rsid w:val="6FED0B64"/>
    <w:rsid w:val="6FF802FD"/>
    <w:rsid w:val="700062A7"/>
    <w:rsid w:val="70025A76"/>
    <w:rsid w:val="700E52FD"/>
    <w:rsid w:val="70117A67"/>
    <w:rsid w:val="701D28B0"/>
    <w:rsid w:val="701E3F32"/>
    <w:rsid w:val="70271038"/>
    <w:rsid w:val="70302ECC"/>
    <w:rsid w:val="705160B5"/>
    <w:rsid w:val="70590ECB"/>
    <w:rsid w:val="70691651"/>
    <w:rsid w:val="706C7393"/>
    <w:rsid w:val="707F0E75"/>
    <w:rsid w:val="70885884"/>
    <w:rsid w:val="708B7819"/>
    <w:rsid w:val="708D09B8"/>
    <w:rsid w:val="70903082"/>
    <w:rsid w:val="709366CE"/>
    <w:rsid w:val="70950698"/>
    <w:rsid w:val="70A408DB"/>
    <w:rsid w:val="70D25448"/>
    <w:rsid w:val="70D94A29"/>
    <w:rsid w:val="70E84C6C"/>
    <w:rsid w:val="70F47C81"/>
    <w:rsid w:val="70F52EE5"/>
    <w:rsid w:val="70F93DEF"/>
    <w:rsid w:val="70FA6B3F"/>
    <w:rsid w:val="711679ED"/>
    <w:rsid w:val="711A6DEF"/>
    <w:rsid w:val="712612F0"/>
    <w:rsid w:val="71294688"/>
    <w:rsid w:val="71341C5F"/>
    <w:rsid w:val="713F0531"/>
    <w:rsid w:val="71535E5D"/>
    <w:rsid w:val="71560F55"/>
    <w:rsid w:val="715611EF"/>
    <w:rsid w:val="716360A0"/>
    <w:rsid w:val="71636F89"/>
    <w:rsid w:val="71706A0F"/>
    <w:rsid w:val="718129CA"/>
    <w:rsid w:val="718B797C"/>
    <w:rsid w:val="71932E10"/>
    <w:rsid w:val="719426FE"/>
    <w:rsid w:val="719A1028"/>
    <w:rsid w:val="71A14E1B"/>
    <w:rsid w:val="71B903B6"/>
    <w:rsid w:val="71BE0EB7"/>
    <w:rsid w:val="71C72AD3"/>
    <w:rsid w:val="71D90A58"/>
    <w:rsid w:val="71DF5F0D"/>
    <w:rsid w:val="71F238C8"/>
    <w:rsid w:val="71F413EE"/>
    <w:rsid w:val="71FA4C7B"/>
    <w:rsid w:val="71FB25BE"/>
    <w:rsid w:val="71FD2275"/>
    <w:rsid w:val="720F6228"/>
    <w:rsid w:val="722974DC"/>
    <w:rsid w:val="722B150A"/>
    <w:rsid w:val="72404633"/>
    <w:rsid w:val="724063E2"/>
    <w:rsid w:val="725417AE"/>
    <w:rsid w:val="725D3437"/>
    <w:rsid w:val="72653219"/>
    <w:rsid w:val="727037A5"/>
    <w:rsid w:val="727B6927"/>
    <w:rsid w:val="72812628"/>
    <w:rsid w:val="728564EA"/>
    <w:rsid w:val="72AE5A41"/>
    <w:rsid w:val="72BC63B0"/>
    <w:rsid w:val="72BD33E2"/>
    <w:rsid w:val="72C11B99"/>
    <w:rsid w:val="72C93F72"/>
    <w:rsid w:val="72D9377F"/>
    <w:rsid w:val="72E256EB"/>
    <w:rsid w:val="72E66F89"/>
    <w:rsid w:val="72F37227"/>
    <w:rsid w:val="730C2768"/>
    <w:rsid w:val="731358A4"/>
    <w:rsid w:val="73156958"/>
    <w:rsid w:val="734168B5"/>
    <w:rsid w:val="7343285A"/>
    <w:rsid w:val="734658F8"/>
    <w:rsid w:val="734B14E2"/>
    <w:rsid w:val="734D525A"/>
    <w:rsid w:val="735139B5"/>
    <w:rsid w:val="7370719A"/>
    <w:rsid w:val="73813156"/>
    <w:rsid w:val="73832A2A"/>
    <w:rsid w:val="738E2C75"/>
    <w:rsid w:val="73925B37"/>
    <w:rsid w:val="73A86934"/>
    <w:rsid w:val="73AE7A71"/>
    <w:rsid w:val="73BC30D2"/>
    <w:rsid w:val="73C179F6"/>
    <w:rsid w:val="73CC0A28"/>
    <w:rsid w:val="73CE3B1E"/>
    <w:rsid w:val="73D15043"/>
    <w:rsid w:val="73E07E7C"/>
    <w:rsid w:val="73E55492"/>
    <w:rsid w:val="73E62FB9"/>
    <w:rsid w:val="7407365B"/>
    <w:rsid w:val="740A4EF9"/>
    <w:rsid w:val="740C71CF"/>
    <w:rsid w:val="740D2C3B"/>
    <w:rsid w:val="740D6797"/>
    <w:rsid w:val="74133F41"/>
    <w:rsid w:val="7419513C"/>
    <w:rsid w:val="741B38D5"/>
    <w:rsid w:val="741B5358"/>
    <w:rsid w:val="7456013E"/>
    <w:rsid w:val="747131CA"/>
    <w:rsid w:val="748A428C"/>
    <w:rsid w:val="749018A2"/>
    <w:rsid w:val="7499627D"/>
    <w:rsid w:val="749F1AE5"/>
    <w:rsid w:val="74A13536"/>
    <w:rsid w:val="74B771BF"/>
    <w:rsid w:val="74C4154C"/>
    <w:rsid w:val="74D067FF"/>
    <w:rsid w:val="74D3178F"/>
    <w:rsid w:val="74E73C43"/>
    <w:rsid w:val="74F82FA3"/>
    <w:rsid w:val="74F86A23"/>
    <w:rsid w:val="74FC0CE6"/>
    <w:rsid w:val="74FD34A5"/>
    <w:rsid w:val="75022074"/>
    <w:rsid w:val="7515448F"/>
    <w:rsid w:val="751C3136"/>
    <w:rsid w:val="75286B5E"/>
    <w:rsid w:val="753931BE"/>
    <w:rsid w:val="753B63A4"/>
    <w:rsid w:val="753D12FE"/>
    <w:rsid w:val="754530F3"/>
    <w:rsid w:val="754E52B9"/>
    <w:rsid w:val="754E771B"/>
    <w:rsid w:val="755221F9"/>
    <w:rsid w:val="755328D0"/>
    <w:rsid w:val="755503F6"/>
    <w:rsid w:val="7555750E"/>
    <w:rsid w:val="756643B1"/>
    <w:rsid w:val="756C13CF"/>
    <w:rsid w:val="757545EC"/>
    <w:rsid w:val="757C2F5D"/>
    <w:rsid w:val="75855CD4"/>
    <w:rsid w:val="7589009F"/>
    <w:rsid w:val="759E54C5"/>
    <w:rsid w:val="75A463C2"/>
    <w:rsid w:val="75AD58BE"/>
    <w:rsid w:val="75B710B1"/>
    <w:rsid w:val="75C8506C"/>
    <w:rsid w:val="75CE1F56"/>
    <w:rsid w:val="75D7257F"/>
    <w:rsid w:val="75EF7FE9"/>
    <w:rsid w:val="75F11E61"/>
    <w:rsid w:val="75F51359"/>
    <w:rsid w:val="760D2A7F"/>
    <w:rsid w:val="760F4A49"/>
    <w:rsid w:val="762027B2"/>
    <w:rsid w:val="762078B5"/>
    <w:rsid w:val="76283D5C"/>
    <w:rsid w:val="7639374C"/>
    <w:rsid w:val="763E3F13"/>
    <w:rsid w:val="76426BCC"/>
    <w:rsid w:val="76472434"/>
    <w:rsid w:val="764A5A81"/>
    <w:rsid w:val="764A7C77"/>
    <w:rsid w:val="764B35A7"/>
    <w:rsid w:val="76650B0D"/>
    <w:rsid w:val="76832BE7"/>
    <w:rsid w:val="768371E5"/>
    <w:rsid w:val="768E5753"/>
    <w:rsid w:val="769431A0"/>
    <w:rsid w:val="76A2766B"/>
    <w:rsid w:val="76A64753"/>
    <w:rsid w:val="76A96C4B"/>
    <w:rsid w:val="76B06D35"/>
    <w:rsid w:val="76B94C61"/>
    <w:rsid w:val="76C05D43"/>
    <w:rsid w:val="76CA4E14"/>
    <w:rsid w:val="76DA5DDA"/>
    <w:rsid w:val="76E375E1"/>
    <w:rsid w:val="77096BD5"/>
    <w:rsid w:val="770B3462"/>
    <w:rsid w:val="77116825"/>
    <w:rsid w:val="77316C41"/>
    <w:rsid w:val="774249AA"/>
    <w:rsid w:val="7744543A"/>
    <w:rsid w:val="774B1AB0"/>
    <w:rsid w:val="774D6F30"/>
    <w:rsid w:val="776B1A2C"/>
    <w:rsid w:val="776C0F42"/>
    <w:rsid w:val="77700D1E"/>
    <w:rsid w:val="77731007"/>
    <w:rsid w:val="77754D7F"/>
    <w:rsid w:val="777A05E8"/>
    <w:rsid w:val="778B0CFC"/>
    <w:rsid w:val="77955852"/>
    <w:rsid w:val="779C12E0"/>
    <w:rsid w:val="77A13DC6"/>
    <w:rsid w:val="77B16BC4"/>
    <w:rsid w:val="77B52AE4"/>
    <w:rsid w:val="77C74F70"/>
    <w:rsid w:val="77DA1086"/>
    <w:rsid w:val="77DE46D3"/>
    <w:rsid w:val="780600CD"/>
    <w:rsid w:val="781E71C5"/>
    <w:rsid w:val="782914D6"/>
    <w:rsid w:val="783C5E2B"/>
    <w:rsid w:val="78511348"/>
    <w:rsid w:val="785D1881"/>
    <w:rsid w:val="7863107C"/>
    <w:rsid w:val="78654DF4"/>
    <w:rsid w:val="78686692"/>
    <w:rsid w:val="786A4AE7"/>
    <w:rsid w:val="788A45F2"/>
    <w:rsid w:val="789072FC"/>
    <w:rsid w:val="78A1387D"/>
    <w:rsid w:val="78A70F68"/>
    <w:rsid w:val="78BB2C66"/>
    <w:rsid w:val="78BC239A"/>
    <w:rsid w:val="78C734CC"/>
    <w:rsid w:val="78C935D5"/>
    <w:rsid w:val="78D855C6"/>
    <w:rsid w:val="78DA7590"/>
    <w:rsid w:val="78F64E8E"/>
    <w:rsid w:val="78FB3062"/>
    <w:rsid w:val="78FF6169"/>
    <w:rsid w:val="79036038"/>
    <w:rsid w:val="79134850"/>
    <w:rsid w:val="791A5BDE"/>
    <w:rsid w:val="791A6950"/>
    <w:rsid w:val="791F31F5"/>
    <w:rsid w:val="79305402"/>
    <w:rsid w:val="793842B6"/>
    <w:rsid w:val="79420C91"/>
    <w:rsid w:val="794669D3"/>
    <w:rsid w:val="794C1B10"/>
    <w:rsid w:val="795F1851"/>
    <w:rsid w:val="796579AA"/>
    <w:rsid w:val="796A6292"/>
    <w:rsid w:val="796E7CD8"/>
    <w:rsid w:val="79825532"/>
    <w:rsid w:val="79863A29"/>
    <w:rsid w:val="798D5EAB"/>
    <w:rsid w:val="79B4314E"/>
    <w:rsid w:val="79BA3274"/>
    <w:rsid w:val="79ED50A1"/>
    <w:rsid w:val="79F35692"/>
    <w:rsid w:val="79F42F71"/>
    <w:rsid w:val="7A0C010F"/>
    <w:rsid w:val="7A0D2BF4"/>
    <w:rsid w:val="7A0F45D4"/>
    <w:rsid w:val="7A1C6C5C"/>
    <w:rsid w:val="7A205476"/>
    <w:rsid w:val="7A2E370F"/>
    <w:rsid w:val="7A32001C"/>
    <w:rsid w:val="7A342CD0"/>
    <w:rsid w:val="7A3548A8"/>
    <w:rsid w:val="7A434373"/>
    <w:rsid w:val="7A537814"/>
    <w:rsid w:val="7A6510DB"/>
    <w:rsid w:val="7A721A4A"/>
    <w:rsid w:val="7A805266"/>
    <w:rsid w:val="7A911FCE"/>
    <w:rsid w:val="7A92650D"/>
    <w:rsid w:val="7A9B4AFD"/>
    <w:rsid w:val="7AA15E8B"/>
    <w:rsid w:val="7AAA6343"/>
    <w:rsid w:val="7AAC0AB8"/>
    <w:rsid w:val="7AB42531"/>
    <w:rsid w:val="7AB756AF"/>
    <w:rsid w:val="7ACA3E4C"/>
    <w:rsid w:val="7AED7BDE"/>
    <w:rsid w:val="7AF22D68"/>
    <w:rsid w:val="7AF4420D"/>
    <w:rsid w:val="7AFA0F65"/>
    <w:rsid w:val="7B032B4D"/>
    <w:rsid w:val="7B184B8A"/>
    <w:rsid w:val="7B20190A"/>
    <w:rsid w:val="7B332F87"/>
    <w:rsid w:val="7B6450EF"/>
    <w:rsid w:val="7B6E2211"/>
    <w:rsid w:val="7B706010"/>
    <w:rsid w:val="7B8814DA"/>
    <w:rsid w:val="7B8E3B3D"/>
    <w:rsid w:val="7B937ECA"/>
    <w:rsid w:val="7BA16E68"/>
    <w:rsid w:val="7BAC2D3A"/>
    <w:rsid w:val="7BAD5DBE"/>
    <w:rsid w:val="7BAE0860"/>
    <w:rsid w:val="7BB4778C"/>
    <w:rsid w:val="7BC53E57"/>
    <w:rsid w:val="7BCC2161"/>
    <w:rsid w:val="7BD366C0"/>
    <w:rsid w:val="7BD52290"/>
    <w:rsid w:val="7BDA5A59"/>
    <w:rsid w:val="7C05739D"/>
    <w:rsid w:val="7C1F56C2"/>
    <w:rsid w:val="7C2E19A1"/>
    <w:rsid w:val="7C354ADD"/>
    <w:rsid w:val="7C376AA7"/>
    <w:rsid w:val="7C3B1660"/>
    <w:rsid w:val="7C4D1E27"/>
    <w:rsid w:val="7C653C97"/>
    <w:rsid w:val="7C6C62EF"/>
    <w:rsid w:val="7C716A79"/>
    <w:rsid w:val="7C7C522F"/>
    <w:rsid w:val="7C8937EE"/>
    <w:rsid w:val="7CAB0170"/>
    <w:rsid w:val="7CAD4FBB"/>
    <w:rsid w:val="7CCB7892"/>
    <w:rsid w:val="7CE64A4C"/>
    <w:rsid w:val="7CF6426C"/>
    <w:rsid w:val="7CF73B10"/>
    <w:rsid w:val="7CF87D4E"/>
    <w:rsid w:val="7D056BA5"/>
    <w:rsid w:val="7D0E17C2"/>
    <w:rsid w:val="7D131146"/>
    <w:rsid w:val="7D1F206B"/>
    <w:rsid w:val="7D241E92"/>
    <w:rsid w:val="7D276B1C"/>
    <w:rsid w:val="7D2F59D0"/>
    <w:rsid w:val="7D341239"/>
    <w:rsid w:val="7D3A0717"/>
    <w:rsid w:val="7D3A0D4D"/>
    <w:rsid w:val="7D3E26BE"/>
    <w:rsid w:val="7D4836C0"/>
    <w:rsid w:val="7D4E4820"/>
    <w:rsid w:val="7D533568"/>
    <w:rsid w:val="7D5471E5"/>
    <w:rsid w:val="7D5D66D1"/>
    <w:rsid w:val="7D671BE7"/>
    <w:rsid w:val="7D733CFB"/>
    <w:rsid w:val="7D7464B9"/>
    <w:rsid w:val="7D751E21"/>
    <w:rsid w:val="7D7C743C"/>
    <w:rsid w:val="7D80622C"/>
    <w:rsid w:val="7D9265E5"/>
    <w:rsid w:val="7D951CD7"/>
    <w:rsid w:val="7DAF266D"/>
    <w:rsid w:val="7DC10D1E"/>
    <w:rsid w:val="7DD53339"/>
    <w:rsid w:val="7DD6409E"/>
    <w:rsid w:val="7DE335C9"/>
    <w:rsid w:val="7DE61BF9"/>
    <w:rsid w:val="7DE93DD1"/>
    <w:rsid w:val="7DEB7B49"/>
    <w:rsid w:val="7DFC2BAA"/>
    <w:rsid w:val="7E023EA3"/>
    <w:rsid w:val="7E066731"/>
    <w:rsid w:val="7E113AA3"/>
    <w:rsid w:val="7E2B6198"/>
    <w:rsid w:val="7E3A176B"/>
    <w:rsid w:val="7E515541"/>
    <w:rsid w:val="7E576F8D"/>
    <w:rsid w:val="7E63694D"/>
    <w:rsid w:val="7E715BD5"/>
    <w:rsid w:val="7E81400A"/>
    <w:rsid w:val="7E86430F"/>
    <w:rsid w:val="7E8F4979"/>
    <w:rsid w:val="7EAD4DFF"/>
    <w:rsid w:val="7EC108AA"/>
    <w:rsid w:val="7EC564D4"/>
    <w:rsid w:val="7EDA196C"/>
    <w:rsid w:val="7EDF539A"/>
    <w:rsid w:val="7EEC1DCB"/>
    <w:rsid w:val="7EED7055"/>
    <w:rsid w:val="7EF46ED2"/>
    <w:rsid w:val="7EF82F90"/>
    <w:rsid w:val="7F0F2CF8"/>
    <w:rsid w:val="7F1532AA"/>
    <w:rsid w:val="7F1E5CFC"/>
    <w:rsid w:val="7F1F157E"/>
    <w:rsid w:val="7F293B40"/>
    <w:rsid w:val="7F390D88"/>
    <w:rsid w:val="7F4E65E2"/>
    <w:rsid w:val="7F601E71"/>
    <w:rsid w:val="7F6135FF"/>
    <w:rsid w:val="7F6F6558"/>
    <w:rsid w:val="7F706236"/>
    <w:rsid w:val="7F78321C"/>
    <w:rsid w:val="7F7D2A23"/>
    <w:rsid w:val="7F845C79"/>
    <w:rsid w:val="7F8813C8"/>
    <w:rsid w:val="7F932247"/>
    <w:rsid w:val="7F954211"/>
    <w:rsid w:val="7F961D37"/>
    <w:rsid w:val="7F9A1827"/>
    <w:rsid w:val="7FB73833"/>
    <w:rsid w:val="7FBB179D"/>
    <w:rsid w:val="7FD80A6F"/>
    <w:rsid w:val="7FD83F00"/>
    <w:rsid w:val="7FEB07E9"/>
    <w:rsid w:val="7FF54BD7"/>
    <w:rsid w:val="7FFA22C6"/>
    <w:rsid w:val="7FFF420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ocked="1"/>
    <w:lsdException w:qFormat="1" w:unhideWhenUsed="0" w:uiPriority="0" w:semiHidden="0" w:name="heading 4"/>
    <w:lsdException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ocked="1"/>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ocked="1"/>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20" w:lineRule="exact"/>
      <w:ind w:firstLine="200" w:firstLineChars="200"/>
      <w:jc w:val="both"/>
    </w:pPr>
    <w:rPr>
      <w:rFonts w:ascii="Times New Roman" w:hAnsi="Times New Roman" w:eastAsia="方正仿宋_GBK" w:cs="Times New Roman"/>
      <w:kern w:val="2"/>
      <w:sz w:val="32"/>
      <w:szCs w:val="22"/>
      <w:lang w:val="en-US" w:eastAsia="zh-CN" w:bidi="ar-SA"/>
    </w:rPr>
  </w:style>
  <w:style w:type="paragraph" w:styleId="2">
    <w:name w:val="heading 1"/>
    <w:basedOn w:val="1"/>
    <w:next w:val="1"/>
    <w:qFormat/>
    <w:uiPriority w:val="9"/>
    <w:pPr>
      <w:keepNext/>
      <w:keepLines/>
      <w:outlineLvl w:val="0"/>
    </w:pPr>
    <w:rPr>
      <w:rFonts w:eastAsia="黑体"/>
      <w:bCs/>
      <w:kern w:val="44"/>
      <w:szCs w:val="44"/>
    </w:rPr>
  </w:style>
  <w:style w:type="paragraph" w:styleId="3">
    <w:name w:val="heading 2"/>
    <w:basedOn w:val="1"/>
    <w:next w:val="1"/>
    <w:unhideWhenUsed/>
    <w:qFormat/>
    <w:uiPriority w:val="9"/>
    <w:pPr>
      <w:keepNext/>
      <w:keepLines/>
      <w:outlineLvl w:val="1"/>
    </w:pPr>
    <w:rPr>
      <w:rFonts w:eastAsia="方正楷体_GBK"/>
      <w:b/>
      <w:bCs/>
      <w:szCs w:val="32"/>
    </w:rPr>
  </w:style>
  <w:style w:type="paragraph" w:styleId="4">
    <w:name w:val="heading 3"/>
    <w:basedOn w:val="1"/>
    <w:next w:val="1"/>
    <w:link w:val="26"/>
    <w:unhideWhenUsed/>
    <w:qFormat/>
    <w:locked/>
    <w:uiPriority w:val="9"/>
    <w:pPr>
      <w:keepNext/>
      <w:keepLines/>
      <w:outlineLvl w:val="2"/>
    </w:pPr>
    <w:rPr>
      <w:b/>
      <w:bCs/>
      <w:szCs w:val="32"/>
    </w:rPr>
  </w:style>
  <w:style w:type="paragraph" w:styleId="5">
    <w:name w:val="heading 4"/>
    <w:basedOn w:val="1"/>
    <w:next w:val="1"/>
    <w:qFormat/>
    <w:uiPriority w:val="0"/>
    <w:pPr>
      <w:keepNext/>
      <w:keepLines/>
      <w:spacing w:before="280" w:after="290" w:line="376" w:lineRule="auto"/>
      <w:outlineLvl w:val="3"/>
    </w:pPr>
    <w:rPr>
      <w:rFonts w:ascii="Cambria" w:hAnsi="Cambria"/>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semiHidden/>
    <w:unhideWhenUsed/>
    <w:qFormat/>
    <w:uiPriority w:val="0"/>
    <w:rPr>
      <w:rFonts w:ascii="Arial" w:hAnsi="Arial" w:eastAsia="黑体"/>
      <w:sz w:val="20"/>
    </w:rPr>
  </w:style>
  <w:style w:type="paragraph" w:styleId="7">
    <w:name w:val="toc 3"/>
    <w:basedOn w:val="1"/>
    <w:next w:val="1"/>
    <w:unhideWhenUsed/>
    <w:qFormat/>
    <w:uiPriority w:val="39"/>
    <w:pPr>
      <w:ind w:left="400" w:leftChars="400" w:firstLine="0" w:firstLineChars="0"/>
    </w:pPr>
  </w:style>
  <w:style w:type="paragraph" w:styleId="8">
    <w:name w:val="Balloon Text"/>
    <w:basedOn w:val="1"/>
    <w:link w:val="38"/>
    <w:qFormat/>
    <w:uiPriority w:val="0"/>
    <w:pPr>
      <w:spacing w:line="240" w:lineRule="auto"/>
    </w:pPr>
    <w:rPr>
      <w:sz w:val="18"/>
      <w:szCs w:val="18"/>
    </w:rPr>
  </w:style>
  <w:style w:type="paragraph" w:styleId="9">
    <w:name w:val="footer"/>
    <w:basedOn w:val="1"/>
    <w:link w:val="43"/>
    <w:qFormat/>
    <w:uiPriority w:val="99"/>
    <w:pPr>
      <w:tabs>
        <w:tab w:val="center" w:pos="4153"/>
        <w:tab w:val="right" w:pos="8306"/>
      </w:tabs>
      <w:snapToGrid w:val="0"/>
      <w:jc w:val="left"/>
    </w:pPr>
    <w:rPr>
      <w:sz w:val="18"/>
    </w:rPr>
  </w:style>
  <w:style w:type="paragraph" w:styleId="10">
    <w:name w:val="header"/>
    <w:basedOn w:val="1"/>
    <w:link w:val="45"/>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1">
    <w:name w:val="toc 1"/>
    <w:basedOn w:val="1"/>
    <w:next w:val="1"/>
    <w:qFormat/>
    <w:uiPriority w:val="39"/>
    <w:pPr>
      <w:ind w:firstLine="0" w:firstLineChars="0"/>
    </w:pPr>
    <w:rPr>
      <w:rFonts w:eastAsia="黑体"/>
    </w:rPr>
  </w:style>
  <w:style w:type="paragraph" w:styleId="12">
    <w:name w:val="toc 2"/>
    <w:basedOn w:val="1"/>
    <w:next w:val="1"/>
    <w:qFormat/>
    <w:uiPriority w:val="39"/>
    <w:rPr>
      <w:rFonts w:eastAsia="方正楷体_GBK"/>
    </w:rPr>
  </w:style>
  <w:style w:type="paragraph" w:styleId="13">
    <w:name w:val="Normal (Web)"/>
    <w:basedOn w:val="1"/>
    <w:qFormat/>
    <w:uiPriority w:val="0"/>
    <w:pPr>
      <w:spacing w:beforeAutospacing="1" w:afterAutospacing="1"/>
      <w:jc w:val="left"/>
    </w:pPr>
    <w:rPr>
      <w:kern w:val="0"/>
      <w:sz w:val="24"/>
    </w:rPr>
  </w:style>
  <w:style w:type="paragraph" w:styleId="14">
    <w:name w:val="Title"/>
    <w:basedOn w:val="1"/>
    <w:next w:val="1"/>
    <w:link w:val="27"/>
    <w:qFormat/>
    <w:locked/>
    <w:uiPriority w:val="10"/>
    <w:pPr>
      <w:ind w:firstLine="0" w:firstLineChars="0"/>
      <w:jc w:val="center"/>
      <w:outlineLvl w:val="0"/>
    </w:pPr>
    <w:rPr>
      <w:rFonts w:eastAsia="方正小标宋_GBK"/>
      <w:bCs/>
      <w:sz w:val="44"/>
      <w:szCs w:val="32"/>
    </w:rPr>
  </w:style>
  <w:style w:type="table" w:styleId="16">
    <w:name w:val="Table Grid"/>
    <w:basedOn w:val="15"/>
    <w:qFormat/>
    <w:uiPriority w:val="59"/>
    <w:pPr>
      <w:spacing w:line="520" w:lineRule="exact"/>
      <w:ind w:firstLine="200" w:firstLineChars="200"/>
      <w:jc w:val="both"/>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8">
    <w:name w:val="Strong"/>
    <w:basedOn w:val="17"/>
    <w:qFormat/>
    <w:uiPriority w:val="0"/>
    <w:rPr>
      <w:b/>
      <w:bCs/>
    </w:rPr>
  </w:style>
  <w:style w:type="character" w:styleId="19">
    <w:name w:val="FollowedHyperlink"/>
    <w:basedOn w:val="17"/>
    <w:qFormat/>
    <w:uiPriority w:val="0"/>
    <w:rPr>
      <w:color w:val="337AB7"/>
      <w:u w:val="none"/>
    </w:rPr>
  </w:style>
  <w:style w:type="character" w:styleId="20">
    <w:name w:val="Emphasis"/>
    <w:basedOn w:val="17"/>
    <w:qFormat/>
    <w:uiPriority w:val="0"/>
    <w:rPr>
      <w:i/>
    </w:rPr>
  </w:style>
  <w:style w:type="character" w:styleId="21">
    <w:name w:val="HTML Definition"/>
    <w:basedOn w:val="17"/>
    <w:qFormat/>
    <w:uiPriority w:val="0"/>
    <w:rPr>
      <w:i/>
      <w:iCs/>
    </w:rPr>
  </w:style>
  <w:style w:type="character" w:styleId="22">
    <w:name w:val="Hyperlink"/>
    <w:basedOn w:val="17"/>
    <w:unhideWhenUsed/>
    <w:qFormat/>
    <w:uiPriority w:val="99"/>
    <w:rPr>
      <w:color w:val="0000FF" w:themeColor="hyperlink"/>
      <w:u w:val="single"/>
      <w14:textFill>
        <w14:solidFill>
          <w14:schemeClr w14:val="hlink"/>
        </w14:solidFill>
      </w14:textFill>
    </w:rPr>
  </w:style>
  <w:style w:type="character" w:styleId="23">
    <w:name w:val="HTML Code"/>
    <w:basedOn w:val="17"/>
    <w:qFormat/>
    <w:uiPriority w:val="0"/>
    <w:rPr>
      <w:rFonts w:ascii="Consolas" w:hAnsi="Consolas" w:eastAsia="Consolas" w:cs="Consolas"/>
      <w:color w:val="C7254E"/>
      <w:sz w:val="21"/>
      <w:szCs w:val="21"/>
      <w:shd w:val="clear" w:color="auto" w:fill="F9F2F4"/>
    </w:rPr>
  </w:style>
  <w:style w:type="character" w:styleId="24">
    <w:name w:val="HTML Keyboard"/>
    <w:basedOn w:val="17"/>
    <w:qFormat/>
    <w:uiPriority w:val="0"/>
    <w:rPr>
      <w:rFonts w:hint="default" w:ascii="Consolas" w:hAnsi="Consolas" w:eastAsia="Consolas" w:cs="Consolas"/>
      <w:color w:val="FFFFFF"/>
      <w:sz w:val="21"/>
      <w:szCs w:val="21"/>
      <w:shd w:val="clear" w:color="auto" w:fill="333333"/>
    </w:rPr>
  </w:style>
  <w:style w:type="character" w:styleId="25">
    <w:name w:val="HTML Sample"/>
    <w:basedOn w:val="17"/>
    <w:qFormat/>
    <w:uiPriority w:val="0"/>
    <w:rPr>
      <w:rFonts w:hint="default" w:ascii="Consolas" w:hAnsi="Consolas" w:eastAsia="Consolas" w:cs="Consolas"/>
      <w:sz w:val="21"/>
      <w:szCs w:val="21"/>
    </w:rPr>
  </w:style>
  <w:style w:type="character" w:customStyle="1" w:styleId="26">
    <w:name w:val="标题 3 字符"/>
    <w:basedOn w:val="17"/>
    <w:link w:val="4"/>
    <w:qFormat/>
    <w:uiPriority w:val="9"/>
    <w:rPr>
      <w:rFonts w:eastAsia="方正仿宋_GBK"/>
      <w:b/>
      <w:bCs/>
      <w:kern w:val="2"/>
      <w:sz w:val="32"/>
      <w:szCs w:val="32"/>
    </w:rPr>
  </w:style>
  <w:style w:type="character" w:customStyle="1" w:styleId="27">
    <w:name w:val="标题 字符"/>
    <w:basedOn w:val="17"/>
    <w:link w:val="14"/>
    <w:qFormat/>
    <w:uiPriority w:val="10"/>
    <w:rPr>
      <w:rFonts w:eastAsia="方正小标宋_GBK"/>
      <w:bCs/>
      <w:kern w:val="2"/>
      <w:sz w:val="44"/>
      <w:szCs w:val="32"/>
    </w:rPr>
  </w:style>
  <w:style w:type="paragraph" w:customStyle="1" w:styleId="28">
    <w:name w:val="表内字体111"/>
    <w:basedOn w:val="1"/>
    <w:qFormat/>
    <w:uiPriority w:val="0"/>
    <w:pPr>
      <w:adjustRightInd w:val="0"/>
      <w:snapToGrid w:val="0"/>
      <w:jc w:val="center"/>
    </w:pPr>
    <w:rPr>
      <w:kern w:val="0"/>
    </w:rPr>
  </w:style>
  <w:style w:type="paragraph" w:customStyle="1" w:styleId="29">
    <w:name w:val="图表"/>
    <w:basedOn w:val="1"/>
    <w:qFormat/>
    <w:uiPriority w:val="0"/>
    <w:pPr>
      <w:spacing w:line="240" w:lineRule="auto"/>
      <w:ind w:firstLine="0" w:firstLineChars="0"/>
      <w:jc w:val="center"/>
    </w:pPr>
    <w:rPr>
      <w:sz w:val="28"/>
      <w:szCs w:val="32"/>
    </w:rPr>
  </w:style>
  <w:style w:type="paragraph" w:customStyle="1" w:styleId="30">
    <w:name w:val="带序号标题1"/>
    <w:basedOn w:val="2"/>
    <w:qFormat/>
    <w:uiPriority w:val="0"/>
    <w:pPr>
      <w:keepNext w:val="0"/>
      <w:keepLines w:val="0"/>
      <w:numPr>
        <w:ilvl w:val="0"/>
        <w:numId w:val="1"/>
      </w:numPr>
      <w:ind w:firstLine="0" w:firstLineChars="0"/>
    </w:pPr>
  </w:style>
  <w:style w:type="paragraph" w:customStyle="1" w:styleId="31">
    <w:name w:val="带序号标题2"/>
    <w:basedOn w:val="3"/>
    <w:qFormat/>
    <w:uiPriority w:val="0"/>
    <w:pPr>
      <w:numPr>
        <w:ilvl w:val="1"/>
        <w:numId w:val="1"/>
      </w:numPr>
      <w:ind w:firstLine="0" w:firstLineChars="0"/>
    </w:pPr>
  </w:style>
  <w:style w:type="paragraph" w:customStyle="1" w:styleId="32">
    <w:name w:val="带序号标题3"/>
    <w:basedOn w:val="4"/>
    <w:qFormat/>
    <w:uiPriority w:val="0"/>
    <w:pPr>
      <w:numPr>
        <w:ilvl w:val="2"/>
        <w:numId w:val="1"/>
      </w:numPr>
      <w:ind w:firstLine="0" w:firstLineChars="0"/>
    </w:pPr>
  </w:style>
  <w:style w:type="paragraph" w:customStyle="1" w:styleId="33">
    <w:name w:val="带序号正文"/>
    <w:qFormat/>
    <w:uiPriority w:val="0"/>
    <w:pPr>
      <w:numPr>
        <w:ilvl w:val="1"/>
        <w:numId w:val="2"/>
      </w:numPr>
      <w:spacing w:line="520" w:lineRule="exact"/>
      <w:jc w:val="both"/>
      <w:outlineLvl w:val="3"/>
    </w:pPr>
    <w:rPr>
      <w:rFonts w:ascii="Times New Roman" w:hAnsi="Times New Roman" w:eastAsia="方正仿宋_GBK" w:cs="Times New Roman"/>
      <w:kern w:val="2"/>
      <w:sz w:val="32"/>
      <w:szCs w:val="22"/>
      <w:lang w:val="en-US" w:eastAsia="zh-CN" w:bidi="ar-SA"/>
    </w:rPr>
  </w:style>
  <w:style w:type="paragraph" w:customStyle="1" w:styleId="34">
    <w:name w:val="图表名"/>
    <w:link w:val="35"/>
    <w:qFormat/>
    <w:uiPriority w:val="0"/>
    <w:pPr>
      <w:spacing w:line="400" w:lineRule="exact"/>
      <w:jc w:val="center"/>
    </w:pPr>
    <w:rPr>
      <w:rFonts w:ascii="Times New Roman" w:hAnsi="Times New Roman" w:eastAsia="方正仿宋_GBK" w:cs="Times New Roman"/>
      <w:kern w:val="2"/>
      <w:sz w:val="28"/>
      <w:szCs w:val="32"/>
      <w:lang w:val="en-US" w:eastAsia="zh-CN" w:bidi="ar-SA"/>
    </w:rPr>
  </w:style>
  <w:style w:type="character" w:customStyle="1" w:styleId="35">
    <w:name w:val="图表名 Char"/>
    <w:basedOn w:val="17"/>
    <w:link w:val="34"/>
    <w:qFormat/>
    <w:uiPriority w:val="0"/>
    <w:rPr>
      <w:rFonts w:eastAsia="方正仿宋_GBK"/>
      <w:kern w:val="2"/>
      <w:sz w:val="28"/>
      <w:szCs w:val="32"/>
    </w:rPr>
  </w:style>
  <w:style w:type="paragraph" w:customStyle="1" w:styleId="36">
    <w:name w:val="表格正文"/>
    <w:next w:val="1"/>
    <w:link w:val="37"/>
    <w:qFormat/>
    <w:uiPriority w:val="0"/>
    <w:pPr>
      <w:spacing w:line="340" w:lineRule="exact"/>
      <w:jc w:val="center"/>
    </w:pPr>
    <w:rPr>
      <w:rFonts w:ascii="Times New Roman" w:hAnsi="Times New Roman" w:eastAsia="方正仿宋_GBK" w:cs="Times New Roman"/>
      <w:kern w:val="2"/>
      <w:sz w:val="24"/>
      <w:szCs w:val="28"/>
      <w:lang w:val="en-US" w:eastAsia="zh-CN" w:bidi="ar-SA"/>
    </w:rPr>
  </w:style>
  <w:style w:type="character" w:customStyle="1" w:styleId="37">
    <w:name w:val="表格正文 Char"/>
    <w:basedOn w:val="17"/>
    <w:link w:val="36"/>
    <w:qFormat/>
    <w:uiPriority w:val="0"/>
    <w:rPr>
      <w:rFonts w:eastAsia="方正仿宋_GBK"/>
      <w:kern w:val="2"/>
      <w:sz w:val="24"/>
      <w:szCs w:val="28"/>
    </w:rPr>
  </w:style>
  <w:style w:type="character" w:customStyle="1" w:styleId="38">
    <w:name w:val="批注框文本 字符"/>
    <w:basedOn w:val="17"/>
    <w:link w:val="8"/>
    <w:qFormat/>
    <w:uiPriority w:val="0"/>
    <w:rPr>
      <w:rFonts w:eastAsia="方正仿宋_GBK"/>
      <w:kern w:val="2"/>
      <w:sz w:val="18"/>
      <w:szCs w:val="18"/>
    </w:rPr>
  </w:style>
  <w:style w:type="paragraph" w:customStyle="1" w:styleId="39">
    <w:name w:val="修订1"/>
    <w:hidden/>
    <w:unhideWhenUsed/>
    <w:qFormat/>
    <w:uiPriority w:val="99"/>
    <w:rPr>
      <w:rFonts w:ascii="Times New Roman" w:hAnsi="Times New Roman" w:eastAsia="方正仿宋_GBK" w:cs="Times New Roman"/>
      <w:kern w:val="2"/>
      <w:sz w:val="32"/>
      <w:szCs w:val="22"/>
      <w:lang w:val="en-US" w:eastAsia="zh-CN" w:bidi="ar-SA"/>
    </w:rPr>
  </w:style>
  <w:style w:type="paragraph" w:customStyle="1" w:styleId="40">
    <w:name w:val="修订2"/>
    <w:hidden/>
    <w:semiHidden/>
    <w:qFormat/>
    <w:uiPriority w:val="99"/>
    <w:rPr>
      <w:rFonts w:ascii="Times New Roman" w:hAnsi="Times New Roman" w:eastAsia="方正仿宋_GBK" w:cs="Times New Roman"/>
      <w:kern w:val="2"/>
      <w:sz w:val="32"/>
      <w:szCs w:val="22"/>
      <w:lang w:val="en-US" w:eastAsia="zh-CN" w:bidi="ar-SA"/>
    </w:rPr>
  </w:style>
  <w:style w:type="paragraph" w:customStyle="1" w:styleId="41">
    <w:name w:val="msolistparagraph"/>
    <w:basedOn w:val="1"/>
    <w:qFormat/>
    <w:uiPriority w:val="0"/>
    <w:pPr>
      <w:ind w:firstLine="420"/>
    </w:pPr>
  </w:style>
  <w:style w:type="paragraph" w:customStyle="1" w:styleId="42">
    <w:name w:val="修订3"/>
    <w:hidden/>
    <w:semiHidden/>
    <w:qFormat/>
    <w:uiPriority w:val="99"/>
    <w:rPr>
      <w:rFonts w:ascii="Times New Roman" w:hAnsi="Times New Roman" w:eastAsia="方正仿宋_GBK" w:cs="Times New Roman"/>
      <w:kern w:val="2"/>
      <w:sz w:val="32"/>
      <w:szCs w:val="22"/>
      <w:lang w:val="en-US" w:eastAsia="zh-CN" w:bidi="ar-SA"/>
    </w:rPr>
  </w:style>
  <w:style w:type="character" w:customStyle="1" w:styleId="43">
    <w:name w:val="页脚 字符"/>
    <w:basedOn w:val="17"/>
    <w:link w:val="9"/>
    <w:qFormat/>
    <w:uiPriority w:val="99"/>
    <w:rPr>
      <w:rFonts w:ascii="Times New Roman" w:hAnsi="Times New Roman" w:eastAsia="方正仿宋_GBK" w:cs="Times New Roman"/>
      <w:kern w:val="2"/>
      <w:sz w:val="18"/>
      <w:szCs w:val="22"/>
    </w:rPr>
  </w:style>
  <w:style w:type="paragraph" w:styleId="44">
    <w:name w:val="List Paragraph"/>
    <w:basedOn w:val="1"/>
    <w:qFormat/>
    <w:uiPriority w:val="99"/>
    <w:pPr>
      <w:ind w:firstLine="420"/>
    </w:pPr>
  </w:style>
  <w:style w:type="character" w:customStyle="1" w:styleId="45">
    <w:name w:val="页眉 字符"/>
    <w:basedOn w:val="17"/>
    <w:link w:val="10"/>
    <w:qFormat/>
    <w:uiPriority w:val="99"/>
    <w:rPr>
      <w:rFonts w:ascii="Times New Roman" w:hAnsi="Times New Roman" w:eastAsia="方正仿宋_GBK"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EB8891-526B-47CA-B457-50B1D824DFA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3796</Words>
  <Characters>21642</Characters>
  <Lines>180</Lines>
  <Paragraphs>50</Paragraphs>
  <TotalTime>1</TotalTime>
  <ScaleCrop>false</ScaleCrop>
  <LinksUpToDate>false</LinksUpToDate>
  <CharactersWithSpaces>25388</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2021-12-20T07:09:00Z</dcterms:created>
  <dc:creator>yuan</dc:creator>
  <cp:lastModifiedBy>罗杰</cp:lastModifiedBy>
  <cp:lastPrinted>2022-01-20T08:07:00Z</cp:lastPrinted>
  <dcterms:modified xsi:type="dcterms:W3CDTF">2022-01-21T05:44:35Z</dcterms:modified>
  <dc:title>重庆市装配式建筑产业发展规划</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KSOSaveFontToCloudKey">
    <vt:lpwstr>1248777927_embed</vt:lpwstr>
  </property>
  <property fmtid="{D5CDD505-2E9C-101B-9397-08002B2CF9AE}" pid="4" name="ICV">
    <vt:lpwstr>163177A23E6F445987B20F72560C644B</vt:lpwstr>
  </property>
</Properties>
</file>